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6791" cy="1577009"/>
            <wp:effectExtent l="19050" t="0" r="3009"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577798"/>
                    </a:xfrm>
                    <a:prstGeom prst="rect">
                      <a:avLst/>
                    </a:prstGeom>
                    <a:noFill/>
                    <a:ln w="9525">
                      <a:noFill/>
                      <a:miter lim="800000"/>
                      <a:headEnd/>
                      <a:tailEnd/>
                    </a:ln>
                  </pic:spPr>
                </pic:pic>
              </a:graphicData>
            </a:graphic>
          </wp:inline>
        </w:drawing>
      </w:r>
    </w:p>
    <w:p w:rsidR="00641D5D" w:rsidRDefault="00641D5D"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641D5D" w:rsidRDefault="000F7E70" w:rsidP="000F7E70">
      <w:pPr>
        <w:autoSpaceDE w:val="0"/>
        <w:jc w:val="both"/>
        <w:rPr>
          <w:b/>
          <w:bCs/>
          <w:lang w:val="en-GB"/>
        </w:rPr>
      </w:pPr>
      <w:r w:rsidRPr="00523854">
        <w:rPr>
          <w:b/>
          <w:bCs/>
          <w:lang w:val="en-GB"/>
        </w:rPr>
        <w:t xml:space="preserve">Date of </w:t>
      </w:r>
      <w:r w:rsidRPr="00641D5D">
        <w:rPr>
          <w:b/>
          <w:bCs/>
          <w:lang w:val="en-GB"/>
        </w:rPr>
        <w:t xml:space="preserve">adoption: </w:t>
      </w:r>
      <w:r w:rsidR="00641D5D" w:rsidRPr="00641D5D">
        <w:rPr>
          <w:b/>
          <w:bCs/>
          <w:lang w:val="en-GB"/>
        </w:rPr>
        <w:t>13</w:t>
      </w:r>
      <w:r w:rsidR="00AC5114" w:rsidRPr="00641D5D">
        <w:rPr>
          <w:b/>
          <w:bCs/>
          <w:lang w:val="en-GB"/>
        </w:rPr>
        <w:t xml:space="preserve"> </w:t>
      </w:r>
      <w:r w:rsidR="007E788B" w:rsidRPr="00641D5D">
        <w:rPr>
          <w:b/>
          <w:bCs/>
          <w:lang w:val="en-GB"/>
        </w:rPr>
        <w:t>November</w:t>
      </w:r>
      <w:r w:rsidRPr="00641D5D">
        <w:rPr>
          <w:b/>
          <w:bCs/>
          <w:lang w:val="en-GB"/>
        </w:rPr>
        <w:t xml:space="preserve"> 20</w:t>
      </w:r>
      <w:r w:rsidR="00C905F1" w:rsidRPr="00641D5D">
        <w:rPr>
          <w:b/>
          <w:bCs/>
          <w:lang w:val="en-GB"/>
        </w:rPr>
        <w:t>1</w:t>
      </w:r>
      <w:r w:rsidR="00361105" w:rsidRPr="00641D5D">
        <w:rPr>
          <w:b/>
          <w:bCs/>
          <w:lang w:val="en-GB"/>
        </w:rPr>
        <w:t>4</w:t>
      </w:r>
    </w:p>
    <w:p w:rsidR="00BE2EF2" w:rsidRPr="00641D5D" w:rsidRDefault="00BE2EF2" w:rsidP="000F7E70">
      <w:pPr>
        <w:autoSpaceDE w:val="0"/>
        <w:jc w:val="both"/>
        <w:rPr>
          <w:b/>
          <w:bCs/>
          <w:lang w:val="en-GB"/>
        </w:rPr>
      </w:pPr>
    </w:p>
    <w:p w:rsidR="00BE2EF2" w:rsidRPr="00641D5D" w:rsidRDefault="00BE2EF2" w:rsidP="00BE2EF2">
      <w:pPr>
        <w:autoSpaceDE w:val="0"/>
        <w:jc w:val="both"/>
        <w:rPr>
          <w:b/>
          <w:bCs/>
          <w:lang w:val="en-GB"/>
        </w:rPr>
      </w:pPr>
      <w:r w:rsidRPr="00641D5D">
        <w:rPr>
          <w:b/>
          <w:bCs/>
          <w:lang w:val="en-GB"/>
        </w:rPr>
        <w:t xml:space="preserve">Cases </w:t>
      </w:r>
      <w:r w:rsidR="000253E8" w:rsidRPr="00641D5D">
        <w:rPr>
          <w:b/>
          <w:bCs/>
          <w:lang w:val="en-GB"/>
        </w:rPr>
        <w:t>Nos</w:t>
      </w:r>
      <w:r w:rsidR="00AC5114" w:rsidRPr="00641D5D">
        <w:rPr>
          <w:b/>
          <w:bCs/>
          <w:lang w:val="en-GB"/>
        </w:rPr>
        <w:t xml:space="preserve"> 144</w:t>
      </w:r>
      <w:r w:rsidRPr="00641D5D">
        <w:rPr>
          <w:b/>
          <w:bCs/>
          <w:lang w:val="en-GB"/>
        </w:rPr>
        <w:t xml:space="preserve">/09, </w:t>
      </w:r>
      <w:r w:rsidR="00AC5114" w:rsidRPr="00641D5D">
        <w:rPr>
          <w:b/>
          <w:bCs/>
          <w:lang w:val="en-GB"/>
        </w:rPr>
        <w:t>158</w:t>
      </w:r>
      <w:r w:rsidRPr="00641D5D">
        <w:rPr>
          <w:b/>
          <w:bCs/>
          <w:lang w:val="en-GB"/>
        </w:rPr>
        <w:t xml:space="preserve">/09, </w:t>
      </w:r>
      <w:r w:rsidR="00AC5114" w:rsidRPr="00641D5D">
        <w:rPr>
          <w:b/>
          <w:bCs/>
          <w:lang w:val="en-GB"/>
        </w:rPr>
        <w:t>209</w:t>
      </w:r>
      <w:r w:rsidRPr="00641D5D">
        <w:rPr>
          <w:b/>
          <w:bCs/>
          <w:lang w:val="en-GB"/>
        </w:rPr>
        <w:t xml:space="preserve">/09, </w:t>
      </w:r>
      <w:r w:rsidR="00AC5114" w:rsidRPr="00641D5D">
        <w:rPr>
          <w:b/>
          <w:bCs/>
          <w:lang w:val="en-GB"/>
        </w:rPr>
        <w:t>210</w:t>
      </w:r>
      <w:r w:rsidRPr="00641D5D">
        <w:rPr>
          <w:b/>
          <w:bCs/>
          <w:lang w:val="en-GB"/>
        </w:rPr>
        <w:t xml:space="preserve">/09, </w:t>
      </w:r>
      <w:r w:rsidR="00AC5114" w:rsidRPr="00641D5D">
        <w:rPr>
          <w:b/>
          <w:bCs/>
          <w:lang w:val="en-GB"/>
        </w:rPr>
        <w:t>258</w:t>
      </w:r>
      <w:r w:rsidRPr="00641D5D">
        <w:rPr>
          <w:b/>
          <w:bCs/>
          <w:lang w:val="en-GB"/>
        </w:rPr>
        <w:t>/09</w:t>
      </w:r>
      <w:r w:rsidR="00AC5114" w:rsidRPr="00641D5D">
        <w:rPr>
          <w:b/>
          <w:bCs/>
          <w:lang w:val="en-GB"/>
        </w:rPr>
        <w:t xml:space="preserve"> </w:t>
      </w:r>
      <w:r w:rsidRPr="00641D5D">
        <w:rPr>
          <w:b/>
          <w:bCs/>
          <w:lang w:val="en-GB"/>
        </w:rPr>
        <w:t xml:space="preserve">and </w:t>
      </w:r>
      <w:r w:rsidR="00AC5114" w:rsidRPr="00641D5D">
        <w:rPr>
          <w:b/>
          <w:bCs/>
          <w:lang w:val="en-GB"/>
        </w:rPr>
        <w:t>276</w:t>
      </w:r>
      <w:r w:rsidRPr="00641D5D">
        <w:rPr>
          <w:b/>
          <w:bCs/>
          <w:lang w:val="en-GB"/>
        </w:rPr>
        <w:t>/09</w:t>
      </w:r>
    </w:p>
    <w:p w:rsidR="00641D5D" w:rsidRPr="00641D5D" w:rsidRDefault="00641D5D" w:rsidP="00BE2EF2">
      <w:pPr>
        <w:autoSpaceDE w:val="0"/>
        <w:jc w:val="both"/>
        <w:rPr>
          <w:b/>
          <w:bCs/>
          <w:lang w:val="en-GB"/>
        </w:rPr>
      </w:pPr>
    </w:p>
    <w:p w:rsidR="00A40F98" w:rsidRPr="00641D5D" w:rsidRDefault="00AC5114" w:rsidP="00BE2EF2">
      <w:pPr>
        <w:autoSpaceDE w:val="0"/>
        <w:jc w:val="both"/>
        <w:rPr>
          <w:b/>
          <w:bCs/>
          <w:lang w:val="en-GB"/>
        </w:rPr>
      </w:pPr>
      <w:r w:rsidRPr="00641D5D">
        <w:rPr>
          <w:b/>
          <w:bCs/>
          <w:lang w:val="en-GB"/>
        </w:rPr>
        <w:t xml:space="preserve">Ljliana MITROVIĆ, Danijela KRSTIĆ, Slobodanka KRSTIĆ, </w:t>
      </w:r>
      <w:bookmarkStart w:id="0" w:name="_GoBack"/>
      <w:r w:rsidRPr="00641D5D">
        <w:rPr>
          <w:b/>
          <w:bCs/>
          <w:lang w:val="en-GB"/>
        </w:rPr>
        <w:t>Snežana</w:t>
      </w:r>
      <w:bookmarkEnd w:id="0"/>
      <w:r w:rsidRPr="00641D5D">
        <w:rPr>
          <w:b/>
          <w:bCs/>
          <w:lang w:val="en-GB"/>
        </w:rPr>
        <w:t xml:space="preserve"> SIMONOVIĆ and Jeremija ŠULJINIĆ</w:t>
      </w:r>
    </w:p>
    <w:p w:rsidR="00AC5114" w:rsidRPr="00641D5D" w:rsidRDefault="00AC5114" w:rsidP="000F7E70">
      <w:pPr>
        <w:autoSpaceDE w:val="0"/>
        <w:jc w:val="both"/>
        <w:rPr>
          <w:b/>
          <w:bCs/>
          <w:lang w:val="en-GB"/>
        </w:rPr>
      </w:pPr>
    </w:p>
    <w:p w:rsidR="000F7E70" w:rsidRPr="00641D5D" w:rsidRDefault="000F7E70" w:rsidP="000F7E70">
      <w:pPr>
        <w:autoSpaceDE w:val="0"/>
        <w:jc w:val="both"/>
        <w:rPr>
          <w:b/>
          <w:bCs/>
          <w:lang w:val="en-GB"/>
        </w:rPr>
      </w:pPr>
      <w:proofErr w:type="gramStart"/>
      <w:r w:rsidRPr="00641D5D">
        <w:rPr>
          <w:b/>
          <w:bCs/>
          <w:lang w:val="en-GB"/>
        </w:rPr>
        <w:t>against</w:t>
      </w:r>
      <w:proofErr w:type="gramEnd"/>
    </w:p>
    <w:p w:rsidR="000F7E70" w:rsidRPr="00641D5D" w:rsidRDefault="000F7E70" w:rsidP="000F7E70">
      <w:pPr>
        <w:autoSpaceDE w:val="0"/>
        <w:jc w:val="both"/>
        <w:rPr>
          <w:b/>
          <w:bCs/>
          <w:lang w:val="en-GB"/>
        </w:rPr>
      </w:pPr>
    </w:p>
    <w:p w:rsidR="000F7E70" w:rsidRPr="00641D5D" w:rsidRDefault="000F7E70" w:rsidP="000F7E70">
      <w:pPr>
        <w:autoSpaceDE w:val="0"/>
        <w:jc w:val="both"/>
        <w:rPr>
          <w:b/>
          <w:bCs/>
          <w:lang w:val="en-GB"/>
        </w:rPr>
      </w:pPr>
      <w:r w:rsidRPr="00641D5D">
        <w:rPr>
          <w:b/>
          <w:bCs/>
          <w:lang w:val="en-GB"/>
        </w:rPr>
        <w:t>U</w:t>
      </w:r>
      <w:r w:rsidR="008F4B86" w:rsidRPr="00641D5D">
        <w:rPr>
          <w:b/>
          <w:bCs/>
          <w:lang w:val="en-GB"/>
        </w:rPr>
        <w:t>NMIK</w:t>
      </w:r>
    </w:p>
    <w:p w:rsidR="00E07C8C" w:rsidRPr="00641D5D" w:rsidRDefault="00E07C8C" w:rsidP="000F7E70">
      <w:pPr>
        <w:autoSpaceDE w:val="0"/>
        <w:jc w:val="both"/>
        <w:rPr>
          <w:b/>
          <w:bCs/>
          <w:lang w:val="en-GB"/>
        </w:rPr>
      </w:pPr>
    </w:p>
    <w:p w:rsidR="00AC5114" w:rsidRPr="00641D5D" w:rsidRDefault="00AC5114" w:rsidP="000F7E70">
      <w:pPr>
        <w:autoSpaceDE w:val="0"/>
        <w:jc w:val="both"/>
        <w:rPr>
          <w:b/>
          <w:bCs/>
          <w:lang w:val="en-GB"/>
        </w:rPr>
      </w:pPr>
    </w:p>
    <w:p w:rsidR="000F7E70" w:rsidRPr="00641D5D" w:rsidRDefault="000F7E70" w:rsidP="000F7E70">
      <w:pPr>
        <w:autoSpaceDE w:val="0"/>
        <w:jc w:val="both"/>
        <w:rPr>
          <w:lang w:val="en-GB"/>
        </w:rPr>
      </w:pPr>
      <w:r w:rsidRPr="00641D5D">
        <w:rPr>
          <w:lang w:val="en-GB"/>
        </w:rPr>
        <w:t>The Human Rights Advisory Panel</w:t>
      </w:r>
      <w:r w:rsidR="000C1973" w:rsidRPr="00641D5D">
        <w:rPr>
          <w:lang w:val="en-GB"/>
        </w:rPr>
        <w:t>,</w:t>
      </w:r>
      <w:r w:rsidR="00361105" w:rsidRPr="00641D5D">
        <w:rPr>
          <w:lang w:val="en-GB"/>
        </w:rPr>
        <w:t xml:space="preserve"> </w:t>
      </w:r>
      <w:r w:rsidR="00DA502E" w:rsidRPr="00641D5D">
        <w:rPr>
          <w:lang w:val="en-GB"/>
        </w:rPr>
        <w:t xml:space="preserve">sitting </w:t>
      </w:r>
      <w:r w:rsidRPr="00641D5D">
        <w:rPr>
          <w:lang w:val="en-GB"/>
        </w:rPr>
        <w:t>on</w:t>
      </w:r>
      <w:r w:rsidR="00552069" w:rsidRPr="00641D5D">
        <w:rPr>
          <w:lang w:val="en-GB"/>
        </w:rPr>
        <w:t xml:space="preserve"> </w:t>
      </w:r>
      <w:r w:rsidR="00641D5D" w:rsidRPr="00641D5D">
        <w:rPr>
          <w:lang w:val="en-GB"/>
        </w:rPr>
        <w:t>13</w:t>
      </w:r>
      <w:r w:rsidR="00AC5114" w:rsidRPr="00641D5D">
        <w:rPr>
          <w:lang w:val="en-GB"/>
        </w:rPr>
        <w:t xml:space="preserve"> </w:t>
      </w:r>
      <w:r w:rsidR="007E788B" w:rsidRPr="00641D5D">
        <w:rPr>
          <w:lang w:val="en-GB"/>
        </w:rPr>
        <w:t>November</w:t>
      </w:r>
      <w:r w:rsidR="00361105" w:rsidRPr="00641D5D">
        <w:rPr>
          <w:lang w:val="en-GB"/>
        </w:rPr>
        <w:t xml:space="preserve"> 2014</w:t>
      </w:r>
      <w:r w:rsidRPr="00641D5D">
        <w:rPr>
          <w:lang w:val="en-GB"/>
        </w:rPr>
        <w:t xml:space="preserve">, </w:t>
      </w:r>
    </w:p>
    <w:p w:rsidR="000F7E70" w:rsidRPr="00523854" w:rsidRDefault="000F7E70" w:rsidP="000F7E70">
      <w:pPr>
        <w:autoSpaceDE w:val="0"/>
        <w:jc w:val="both"/>
        <w:rPr>
          <w:lang w:val="en-GB"/>
        </w:rPr>
      </w:pPr>
      <w:proofErr w:type="gramStart"/>
      <w:r w:rsidRPr="00641D5D">
        <w:rPr>
          <w:lang w:val="en-GB"/>
        </w:rPr>
        <w:t>with</w:t>
      </w:r>
      <w:proofErr w:type="gramEnd"/>
      <w:r w:rsidRPr="00641D5D">
        <w:rPr>
          <w:lang w:val="en-GB"/>
        </w:rPr>
        <w:t xml:space="preserve"> the following members </w:t>
      </w:r>
      <w:r w:rsidR="00DA502E" w:rsidRPr="00641D5D">
        <w:rPr>
          <w:lang w:val="en-GB"/>
        </w:rPr>
        <w:t>present</w:t>
      </w:r>
      <w:r w:rsidRPr="00641D5D">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r w:rsidR="0064627F" w:rsidRPr="008F2CBE">
        <w:rPr>
          <w:lang w:val="en-GB"/>
        </w:rPr>
        <w:t>Chinkin</w:t>
      </w:r>
    </w:p>
    <w:p w:rsidR="00A40F98" w:rsidRPr="008F2CBE" w:rsidRDefault="00A40F98" w:rsidP="000F7E70">
      <w:pPr>
        <w:autoSpaceDE w:val="0"/>
        <w:jc w:val="both"/>
        <w:rPr>
          <w:color w:val="FF0000"/>
          <w:lang w:val="en-GB"/>
        </w:rPr>
      </w:pPr>
      <w:r w:rsidRPr="008F2CBE">
        <w:rPr>
          <w:lang w:val="en-GB"/>
        </w:rPr>
        <w:t xml:space="preserve">Françoise </w:t>
      </w:r>
      <w:r w:rsidR="0064627F" w:rsidRPr="008F2CBE">
        <w:rPr>
          <w:lang w:val="en-GB"/>
        </w:rPr>
        <w:t>Tulkens</w:t>
      </w:r>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proofErr w:type="gramStart"/>
      <w:r w:rsidR="00361105" w:rsidRPr="000253E8">
        <w:rPr>
          <w:lang w:val="en-GB"/>
        </w:rPr>
        <w:t>deliberated</w:t>
      </w:r>
      <w:r w:rsidR="00BE2EF2" w:rsidRPr="000253E8">
        <w:rPr>
          <w:lang w:val="en-GB"/>
        </w:rPr>
        <w:t>,</w:t>
      </w:r>
      <w:proofErr w:type="gramEnd"/>
      <w:r w:rsidR="00BE2EF2" w:rsidRPr="000253E8">
        <w:rPr>
          <w:lang w:val="en-GB"/>
        </w:rPr>
        <w:t xml:space="preserv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3D4233">
      <w:pPr>
        <w:numPr>
          <w:ilvl w:val="0"/>
          <w:numId w:val="1"/>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867F5" w:rsidRDefault="00F7574F" w:rsidP="003D4233">
      <w:pPr>
        <w:pStyle w:val="ListParagraph"/>
        <w:numPr>
          <w:ilvl w:val="0"/>
          <w:numId w:val="2"/>
        </w:numPr>
        <w:suppressAutoHyphens w:val="0"/>
        <w:autoSpaceDE w:val="0"/>
        <w:autoSpaceDN w:val="0"/>
        <w:adjustRightInd w:val="0"/>
        <w:jc w:val="both"/>
        <w:rPr>
          <w:color w:val="000000" w:themeColor="text1"/>
        </w:rPr>
      </w:pPr>
      <w:r w:rsidRPr="00F7574F">
        <w:rPr>
          <w:color w:val="000000" w:themeColor="text1"/>
        </w:rPr>
        <w:t xml:space="preserve">The complaint of Mrs Snežana Simonović (no. 258/09) was introduced on 6 April 2009. </w:t>
      </w:r>
      <w:r w:rsidR="00B867F5" w:rsidRPr="00F7574F">
        <w:rPr>
          <w:color w:val="000000" w:themeColor="text1"/>
        </w:rPr>
        <w:t>The complaints of Mrs Ljiljana Mitrović</w:t>
      </w:r>
      <w:r w:rsidR="00B867F5" w:rsidRPr="00F7574F">
        <w:rPr>
          <w:b/>
          <w:color w:val="000000" w:themeColor="text1"/>
        </w:rPr>
        <w:t xml:space="preserve"> </w:t>
      </w:r>
      <w:r w:rsidR="00B867F5" w:rsidRPr="00F7574F">
        <w:rPr>
          <w:color w:val="000000" w:themeColor="text1"/>
        </w:rPr>
        <w:t>(case no. 144/09), Mrs</w:t>
      </w:r>
      <w:r w:rsidR="00B867F5" w:rsidRPr="00F7574F">
        <w:rPr>
          <w:bCs/>
          <w:color w:val="000000" w:themeColor="text1"/>
        </w:rPr>
        <w:t xml:space="preserve"> Slobodanka Krsti</w:t>
      </w:r>
      <w:r w:rsidR="00B867F5" w:rsidRPr="00F7574F">
        <w:rPr>
          <w:color w:val="000000" w:themeColor="text1"/>
        </w:rPr>
        <w:t xml:space="preserve">ć (cases nos </w:t>
      </w:r>
      <w:r w:rsidR="00B867F5" w:rsidRPr="00F7574F">
        <w:rPr>
          <w:color w:val="000000" w:themeColor="text1"/>
        </w:rPr>
        <w:lastRenderedPageBreak/>
        <w:t>209/09 and 210/09) were introduced on 7 April 2009. The complaint of Mrs</w:t>
      </w:r>
      <w:r w:rsidR="00B867F5" w:rsidRPr="00F7574F">
        <w:rPr>
          <w:bCs/>
          <w:color w:val="000000" w:themeColor="text1"/>
        </w:rPr>
        <w:t xml:space="preserve"> Danijela Krsti</w:t>
      </w:r>
      <w:r w:rsidR="00B867F5" w:rsidRPr="00F7574F">
        <w:rPr>
          <w:color w:val="000000" w:themeColor="text1"/>
        </w:rPr>
        <w:t>ć (case no. 158/09) was introduced 13 April 2009</w:t>
      </w:r>
      <w:r w:rsidRPr="00F7574F">
        <w:rPr>
          <w:color w:val="000000" w:themeColor="text1"/>
        </w:rPr>
        <w:t xml:space="preserve">. The complaint of Mr Jeremija Šuljinić (no. 276/09) was introduced on 24 April 2009. All cases were </w:t>
      </w:r>
      <w:r w:rsidR="00B867F5" w:rsidRPr="00F7574F">
        <w:rPr>
          <w:color w:val="000000" w:themeColor="text1"/>
        </w:rPr>
        <w:t>registered on 30 April 2009.</w:t>
      </w:r>
    </w:p>
    <w:p w:rsidR="00D54450" w:rsidRPr="00F7574F" w:rsidRDefault="00D54450" w:rsidP="00D54450">
      <w:pPr>
        <w:pStyle w:val="ListParagraph"/>
        <w:suppressAutoHyphens w:val="0"/>
        <w:autoSpaceDE w:val="0"/>
        <w:autoSpaceDN w:val="0"/>
        <w:adjustRightInd w:val="0"/>
        <w:ind w:left="360"/>
        <w:jc w:val="both"/>
        <w:rPr>
          <w:color w:val="000000" w:themeColor="text1"/>
        </w:rPr>
      </w:pPr>
    </w:p>
    <w:p w:rsidR="00D54450" w:rsidRPr="00F7574F" w:rsidRDefault="00D54450" w:rsidP="003D4233">
      <w:pPr>
        <w:numPr>
          <w:ilvl w:val="0"/>
          <w:numId w:val="2"/>
        </w:numPr>
        <w:jc w:val="both"/>
        <w:rPr>
          <w:color w:val="000000" w:themeColor="text1"/>
        </w:rPr>
      </w:pPr>
      <w:r w:rsidRPr="00F7574F">
        <w:rPr>
          <w:color w:val="000000" w:themeColor="text1"/>
        </w:rPr>
        <w:t xml:space="preserve">On 23 December 2009 and 6 October 2010, the Panel requested further information from Mrs </w:t>
      </w:r>
      <w:r w:rsidRPr="00F7574F">
        <w:rPr>
          <w:bCs/>
          <w:color w:val="000000" w:themeColor="text1"/>
        </w:rPr>
        <w:t>Slobodanka Krsti</w:t>
      </w:r>
      <w:r w:rsidRPr="00F7574F">
        <w:rPr>
          <w:color w:val="000000" w:themeColor="text1"/>
        </w:rPr>
        <w:t xml:space="preserve">ć regarding cases nos 209/09 and 210/09. No response was received. </w:t>
      </w:r>
    </w:p>
    <w:p w:rsidR="00D54450" w:rsidRPr="00F7574F" w:rsidRDefault="00D54450" w:rsidP="00D54450">
      <w:pPr>
        <w:pStyle w:val="ListParagraph"/>
        <w:rPr>
          <w:color w:val="000000" w:themeColor="text1"/>
        </w:rPr>
      </w:pPr>
    </w:p>
    <w:p w:rsidR="00D54450" w:rsidRPr="00F7574F" w:rsidRDefault="00D54450" w:rsidP="003D4233">
      <w:pPr>
        <w:pStyle w:val="Default"/>
        <w:numPr>
          <w:ilvl w:val="0"/>
          <w:numId w:val="2"/>
        </w:numPr>
        <w:jc w:val="both"/>
        <w:rPr>
          <w:color w:val="000000" w:themeColor="text1"/>
        </w:rPr>
      </w:pPr>
      <w:r w:rsidRPr="00F7574F">
        <w:rPr>
          <w:color w:val="000000" w:themeColor="text1"/>
          <w:lang w:val="en-GB"/>
        </w:rPr>
        <w:t xml:space="preserve">On 23 December 2009 and 24 November 2010, the Panel requested further information from </w:t>
      </w:r>
      <w:r w:rsidRPr="00F7574F">
        <w:rPr>
          <w:color w:val="000000" w:themeColor="text1"/>
        </w:rPr>
        <w:t>Mr Jeremija Šuljinić (no. 276/09)</w:t>
      </w:r>
      <w:r w:rsidRPr="00F7574F">
        <w:rPr>
          <w:color w:val="000000" w:themeColor="text1"/>
          <w:lang w:val="en-GB"/>
        </w:rPr>
        <w:t>. No response was received.</w:t>
      </w:r>
    </w:p>
    <w:p w:rsidR="00D54450" w:rsidRPr="00F7574F" w:rsidRDefault="00D54450" w:rsidP="00D54450">
      <w:pPr>
        <w:pStyle w:val="ListParagraph"/>
        <w:rPr>
          <w:color w:val="000000" w:themeColor="text1"/>
        </w:rPr>
      </w:pPr>
    </w:p>
    <w:p w:rsidR="00D54450" w:rsidRPr="00B404E9" w:rsidRDefault="00D54450" w:rsidP="003D4233">
      <w:pPr>
        <w:numPr>
          <w:ilvl w:val="0"/>
          <w:numId w:val="2"/>
        </w:numPr>
        <w:jc w:val="both"/>
        <w:rPr>
          <w:color w:val="000000" w:themeColor="text1"/>
        </w:rPr>
      </w:pPr>
      <w:r w:rsidRPr="00F7574F">
        <w:rPr>
          <w:color w:val="000000" w:themeColor="text1"/>
        </w:rPr>
        <w:t>On 13 January 2010, the Panel requested additional information from Mrs</w:t>
      </w:r>
      <w:r w:rsidRPr="00F7574F">
        <w:rPr>
          <w:bCs/>
          <w:color w:val="000000" w:themeColor="text1"/>
        </w:rPr>
        <w:t xml:space="preserve"> Slobodanka Krsti</w:t>
      </w:r>
      <w:r w:rsidRPr="00F7574F">
        <w:rPr>
          <w:color w:val="000000" w:themeColor="text1"/>
        </w:rPr>
        <w:t>ć and Mrs</w:t>
      </w:r>
      <w:r w:rsidRPr="00F7574F">
        <w:rPr>
          <w:bCs/>
          <w:color w:val="000000" w:themeColor="text1"/>
        </w:rPr>
        <w:t xml:space="preserve"> </w:t>
      </w:r>
      <w:r w:rsidRPr="00F7574F">
        <w:rPr>
          <w:color w:val="000000" w:themeColor="text1"/>
        </w:rPr>
        <w:t xml:space="preserve">Ljiljana Mitrović in cases nos 144/09 and 159/09. No response was </w:t>
      </w:r>
      <w:r w:rsidRPr="00B404E9">
        <w:rPr>
          <w:color w:val="000000" w:themeColor="text1"/>
        </w:rPr>
        <w:t>received.</w:t>
      </w:r>
    </w:p>
    <w:p w:rsidR="00D54450" w:rsidRPr="00B404E9" w:rsidRDefault="00D54450" w:rsidP="00D54450">
      <w:pPr>
        <w:jc w:val="both"/>
        <w:rPr>
          <w:color w:val="000000" w:themeColor="text1"/>
        </w:rPr>
      </w:pPr>
    </w:p>
    <w:p w:rsidR="00D54450" w:rsidRPr="00B404E9" w:rsidRDefault="00D54450" w:rsidP="003D4233">
      <w:pPr>
        <w:numPr>
          <w:ilvl w:val="0"/>
          <w:numId w:val="2"/>
        </w:numPr>
        <w:jc w:val="both"/>
        <w:rPr>
          <w:color w:val="000000" w:themeColor="text1"/>
        </w:rPr>
      </w:pPr>
      <w:r w:rsidRPr="00B404E9">
        <w:rPr>
          <w:color w:val="000000" w:themeColor="text1"/>
        </w:rPr>
        <w:t>On 9 September 2010, the Panel decided to join the complaints of 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(cases nos 209/09 and 210/09), pursuant to Rule 20 of the Panel’s Rules of Procedure. </w:t>
      </w:r>
    </w:p>
    <w:p w:rsidR="00B867F5" w:rsidRPr="00B404E9" w:rsidRDefault="00B867F5" w:rsidP="00B867F5">
      <w:pPr>
        <w:jc w:val="bot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2 November 2010, the complaint of Mrs Snežana Simonović (no. 258/09) was communicated to the SRSG</w:t>
      </w:r>
      <w:r w:rsidR="00811380" w:rsidRPr="00B404E9">
        <w:rPr>
          <w:vertAlign w:val="superscript"/>
          <w:lang w:val="en-GB" w:eastAsia="en-GB"/>
        </w:rPr>
        <w:footnoteReference w:id="1"/>
      </w:r>
      <w:r w:rsidRPr="00B404E9">
        <w:rPr>
          <w:color w:val="000000" w:themeColor="text1"/>
        </w:rPr>
        <w:t>, for UNMIK’s comments on</w:t>
      </w:r>
      <w:r w:rsidR="00D54450" w:rsidRPr="00B404E9">
        <w:rPr>
          <w:color w:val="000000" w:themeColor="text1"/>
        </w:rPr>
        <w:t xml:space="preserve"> its</w:t>
      </w:r>
      <w:r w:rsidRPr="00B404E9">
        <w:rPr>
          <w:color w:val="000000" w:themeColor="text1"/>
        </w:rPr>
        <w:t xml:space="preserve"> admissibility.</w:t>
      </w:r>
    </w:p>
    <w:p w:rsidR="00C05D15" w:rsidRPr="00B404E9" w:rsidRDefault="00C05D15" w:rsidP="00C05D15">
      <w:pPr>
        <w:pStyle w:val="ListParagrap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5 April 2011, the SRSG presented UNMIK’s response.</w:t>
      </w:r>
    </w:p>
    <w:p w:rsidR="00CE08B2" w:rsidRPr="00B404E9" w:rsidRDefault="00CE08B2" w:rsidP="00CE08B2">
      <w:pPr>
        <w:pStyle w:val="ListParagraph"/>
        <w:rPr>
          <w:b/>
        </w:rPr>
      </w:pPr>
    </w:p>
    <w:p w:rsidR="00B76128" w:rsidRPr="00B404E9" w:rsidRDefault="00B76128" w:rsidP="003D4233">
      <w:pPr>
        <w:numPr>
          <w:ilvl w:val="0"/>
          <w:numId w:val="2"/>
        </w:numPr>
        <w:jc w:val="both"/>
        <w:rPr>
          <w:b/>
        </w:rPr>
      </w:pPr>
      <w:r w:rsidRPr="00B404E9">
        <w:t xml:space="preserve">On 2 February 2012, the complaint of </w:t>
      </w:r>
      <w:r w:rsidRPr="00B404E9">
        <w:rPr>
          <w:color w:val="000000" w:themeColor="text1"/>
        </w:rPr>
        <w:t xml:space="preserve">Mr Jeremija Šuljinić (no. 276/09) </w:t>
      </w:r>
      <w:r w:rsidRPr="00B404E9">
        <w:t>was communicated to the SRSG, for UNMIK’s comments on its admissibility.</w:t>
      </w:r>
    </w:p>
    <w:p w:rsidR="00B76128" w:rsidRPr="00B404E9" w:rsidRDefault="00B76128" w:rsidP="00B76128">
      <w:pPr>
        <w:pStyle w:val="ListParagraph"/>
      </w:pPr>
    </w:p>
    <w:p w:rsidR="00CE08B2" w:rsidRPr="00B404E9" w:rsidRDefault="00B76128" w:rsidP="003D4233">
      <w:pPr>
        <w:numPr>
          <w:ilvl w:val="0"/>
          <w:numId w:val="2"/>
        </w:numPr>
        <w:jc w:val="both"/>
        <w:rPr>
          <w:b/>
        </w:rPr>
      </w:pPr>
      <w:r w:rsidRPr="00B404E9">
        <w:t>On 2 March 2012, the SRSG presented UNMIK’s response.</w:t>
      </w:r>
    </w:p>
    <w:p w:rsidR="00D54450" w:rsidRPr="00B404E9" w:rsidRDefault="00D54450" w:rsidP="00D54450">
      <w:pPr>
        <w:pStyle w:val="ListParagraph"/>
        <w:rPr>
          <w:b/>
        </w:rPr>
      </w:pPr>
    </w:p>
    <w:p w:rsidR="00D54450" w:rsidRPr="00B404E9" w:rsidRDefault="00D54450" w:rsidP="003D4233">
      <w:pPr>
        <w:numPr>
          <w:ilvl w:val="0"/>
          <w:numId w:val="2"/>
        </w:numPr>
        <w:jc w:val="both"/>
      </w:pPr>
      <w:r w:rsidRPr="00B404E9">
        <w:t xml:space="preserve">On 19 April 2012, the Panel </w:t>
      </w:r>
      <w:r w:rsidRPr="00B404E9">
        <w:rPr>
          <w:lang w:val="en-GB"/>
        </w:rPr>
        <w:t xml:space="preserve">communicated the joined complaints </w:t>
      </w:r>
      <w:r w:rsidR="00811380">
        <w:rPr>
          <w:lang w:val="en-GB"/>
        </w:rPr>
        <w:t xml:space="preserve">of </w:t>
      </w:r>
      <w:r w:rsidRPr="00B404E9">
        <w:rPr>
          <w:color w:val="000000" w:themeColor="text1"/>
        </w:rPr>
        <w:t>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(nos 209/09 and 210/09) </w:t>
      </w:r>
      <w:r w:rsidRPr="00B404E9">
        <w:rPr>
          <w:lang w:val="en-GB"/>
        </w:rPr>
        <w:t>to the SRSG for UNMIK’s comments on their admissibility.</w:t>
      </w:r>
    </w:p>
    <w:p w:rsidR="00D54450" w:rsidRPr="00B404E9" w:rsidRDefault="00D54450" w:rsidP="00CE08B2">
      <w:pPr>
        <w:pStyle w:val="ListParagraph"/>
        <w:rPr>
          <w:color w:val="000000" w:themeColor="text1"/>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 xml:space="preserve">On </w:t>
      </w:r>
      <w:r w:rsidRPr="00B404E9">
        <w:rPr>
          <w:bCs/>
        </w:rPr>
        <w:t xml:space="preserve">10 May 2012, the Panel declared the complaint of </w:t>
      </w:r>
      <w:r w:rsidRPr="00B404E9">
        <w:rPr>
          <w:color w:val="000000" w:themeColor="text1"/>
        </w:rPr>
        <w:t xml:space="preserve">Mrs Snežana Simonović (no. 258/09) </w:t>
      </w:r>
      <w:r w:rsidRPr="00B404E9">
        <w:t>admissible.</w:t>
      </w:r>
    </w:p>
    <w:p w:rsidR="00C05D15" w:rsidRPr="00B404E9" w:rsidRDefault="00C05D15" w:rsidP="00C05D15">
      <w:pPr>
        <w:pStyle w:val="ListParagraph"/>
        <w:rPr>
          <w:color w:val="000000" w:themeColor="text1"/>
          <w:lang w:val="en-GB"/>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On 11</w:t>
      </w:r>
      <w:r w:rsidRPr="00B404E9">
        <w:rPr>
          <w:bCs/>
        </w:rPr>
        <w:t xml:space="preserve"> May 2012, the Panel declared the complaint of </w:t>
      </w:r>
      <w:r w:rsidRPr="00B404E9">
        <w:rPr>
          <w:color w:val="000000" w:themeColor="text1"/>
        </w:rPr>
        <w:t xml:space="preserve">Mr Jeremija Šuljinić (no. 276/09) </w:t>
      </w:r>
      <w:r w:rsidRPr="00B404E9">
        <w:t>admissible.</w:t>
      </w:r>
    </w:p>
    <w:p w:rsidR="00D54450" w:rsidRPr="00B404E9" w:rsidRDefault="00D54450" w:rsidP="00D54450">
      <w:pPr>
        <w:pStyle w:val="ListParagraph"/>
        <w:rPr>
          <w:color w:val="000000" w:themeColor="text1"/>
          <w:lang w:val="en-GB"/>
        </w:rPr>
      </w:pPr>
    </w:p>
    <w:p w:rsidR="00D54450" w:rsidRPr="00C63425" w:rsidRDefault="00D54450" w:rsidP="003D4233">
      <w:pPr>
        <w:numPr>
          <w:ilvl w:val="0"/>
          <w:numId w:val="2"/>
        </w:numPr>
        <w:jc w:val="both"/>
        <w:rPr>
          <w:lang w:val="en-GB"/>
        </w:rPr>
      </w:pPr>
      <w:r w:rsidRPr="00B404E9">
        <w:rPr>
          <w:color w:val="000000" w:themeColor="text1"/>
          <w:lang w:val="en-GB"/>
        </w:rPr>
        <w:t xml:space="preserve">On 17 May 2012, </w:t>
      </w:r>
      <w:r w:rsidRPr="00B404E9">
        <w:rPr>
          <w:lang w:val="en-GB"/>
        </w:rPr>
        <w:t xml:space="preserve">the Panel forwarded </w:t>
      </w:r>
      <w:r w:rsidRPr="00C63425">
        <w:rPr>
          <w:lang w:val="en-GB"/>
        </w:rPr>
        <w:t xml:space="preserve">its decision on admissibility of the complaint of </w:t>
      </w:r>
      <w:r w:rsidRPr="00C63425">
        <w:rPr>
          <w:color w:val="000000" w:themeColor="text1"/>
        </w:rPr>
        <w:t xml:space="preserve">Mr Jeremija Šuljinić (no. 276/09) </w:t>
      </w:r>
      <w:r w:rsidRPr="00C63425">
        <w:rPr>
          <w:lang w:val="en-GB"/>
        </w:rPr>
        <w:t>to the SRSG requesting UNMIK’s comments on the merits of the complaint, as well as copies of the investigative files relevant to the case.</w:t>
      </w:r>
    </w:p>
    <w:p w:rsidR="00D54450" w:rsidRPr="00C63425" w:rsidRDefault="00D54450" w:rsidP="00D54450">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1" w:name="_Ref372640474"/>
      <w:r w:rsidRPr="00C63425">
        <w:rPr>
          <w:color w:val="000000" w:themeColor="text1"/>
          <w:lang w:val="en-GB"/>
        </w:rPr>
        <w:t xml:space="preserve">Following the Panel’s inquiries, on 4 October 2012, UNMIK requested the </w:t>
      </w:r>
      <w:r w:rsidRPr="00C63425">
        <w:rPr>
          <w:color w:val="000000" w:themeColor="text1"/>
        </w:rPr>
        <w:t>Archives and Records Management Section of the United Nations’ (UN) Headquarters</w:t>
      </w:r>
      <w:r w:rsidRPr="00C63425">
        <w:rPr>
          <w:color w:val="000000" w:themeColor="text1"/>
          <w:lang w:val="en-GB"/>
        </w:rPr>
        <w:t xml:space="preserve"> in New York to locate and return to UNMIK a number of investigative files related to the complaints before the HRAP.</w:t>
      </w:r>
      <w:bookmarkEnd w:id="1"/>
    </w:p>
    <w:p w:rsidR="001416CD" w:rsidRPr="00C63425" w:rsidRDefault="001416CD" w:rsidP="001416CD">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2" w:name="_Ref372640476"/>
      <w:r w:rsidRPr="00C63425">
        <w:rPr>
          <w:color w:val="000000" w:themeColor="text1"/>
        </w:rPr>
        <w:t xml:space="preserve">On 14 December 2012, UNMIK received the requested investigative files from the UN Headquarters in New York. On 17 December 2012, UNMIK presented those documents, including </w:t>
      </w:r>
      <w:r w:rsidR="003B682A" w:rsidRPr="00C63425">
        <w:rPr>
          <w:color w:val="000000" w:themeColor="text1"/>
        </w:rPr>
        <w:t xml:space="preserve">some documents </w:t>
      </w:r>
      <w:r w:rsidRPr="00C63425">
        <w:rPr>
          <w:color w:val="000000" w:themeColor="text1"/>
        </w:rPr>
        <w:t xml:space="preserve">related to the complaint of Mr Jeremija </w:t>
      </w:r>
      <w:r w:rsidR="009F206A" w:rsidRPr="00C63425">
        <w:rPr>
          <w:color w:val="000000" w:themeColor="text1"/>
        </w:rPr>
        <w:t>Šuljinić (no. 276/09)</w:t>
      </w:r>
      <w:r w:rsidRPr="00C63425">
        <w:rPr>
          <w:color w:val="000000" w:themeColor="text1"/>
        </w:rPr>
        <w:t>, to the Panel.</w:t>
      </w:r>
      <w:bookmarkEnd w:id="2"/>
    </w:p>
    <w:p w:rsidR="001416CD" w:rsidRPr="00C63425" w:rsidRDefault="001416CD" w:rsidP="00D54450">
      <w:pPr>
        <w:pStyle w:val="ListParagraph"/>
        <w:rPr>
          <w:color w:val="000000" w:themeColor="text1"/>
          <w:lang w:val="en-GB"/>
        </w:rPr>
      </w:pPr>
    </w:p>
    <w:p w:rsidR="00D54450" w:rsidRPr="00B404E9" w:rsidRDefault="00D54450" w:rsidP="003D4233">
      <w:pPr>
        <w:numPr>
          <w:ilvl w:val="0"/>
          <w:numId w:val="2"/>
        </w:numPr>
        <w:jc w:val="both"/>
        <w:rPr>
          <w:b/>
          <w:color w:val="000000" w:themeColor="text1"/>
        </w:rPr>
      </w:pPr>
      <w:bookmarkStart w:id="3" w:name="_Ref398291051"/>
      <w:r w:rsidRPr="00C63425">
        <w:rPr>
          <w:color w:val="000000" w:themeColor="text1"/>
        </w:rPr>
        <w:t>On 7 March 2014, the SRSG presented UNMIK’s</w:t>
      </w:r>
      <w:r w:rsidRPr="00B404E9">
        <w:rPr>
          <w:color w:val="000000" w:themeColor="text1"/>
        </w:rPr>
        <w:t xml:space="preserve"> response</w:t>
      </w:r>
      <w:r w:rsidR="003C4CEF">
        <w:rPr>
          <w:color w:val="000000" w:themeColor="text1"/>
        </w:rPr>
        <w:t xml:space="preserve"> in relation to the </w:t>
      </w:r>
      <w:r w:rsidR="003C4CEF">
        <w:rPr>
          <w:lang w:val="en-GB"/>
        </w:rPr>
        <w:t xml:space="preserve">merits of the </w:t>
      </w:r>
      <w:r w:rsidR="003C4CEF" w:rsidRPr="00B404E9">
        <w:rPr>
          <w:lang w:val="en-GB"/>
        </w:rPr>
        <w:t xml:space="preserve">complaint of </w:t>
      </w:r>
      <w:r w:rsidR="003C4CEF" w:rsidRPr="00B404E9">
        <w:rPr>
          <w:color w:val="000000" w:themeColor="text1"/>
        </w:rPr>
        <w:t>Mr Jeremija Šuljinić (no. 276/09)</w:t>
      </w:r>
      <w:r w:rsidR="003C4CEF">
        <w:rPr>
          <w:lang w:val="en-GB"/>
        </w:rPr>
        <w:t>.</w:t>
      </w:r>
      <w:bookmarkEnd w:id="3"/>
    </w:p>
    <w:p w:rsidR="008C6B10" w:rsidRPr="00B404E9" w:rsidRDefault="008C6B10" w:rsidP="008C6B10">
      <w:pPr>
        <w:pStyle w:val="ListParagraph"/>
        <w:rPr>
          <w:color w:val="000000" w:themeColor="text1"/>
          <w:lang w:val="en-GB"/>
        </w:rPr>
      </w:pPr>
    </w:p>
    <w:p w:rsidR="00D54450" w:rsidRPr="00B404E9" w:rsidRDefault="00D54450" w:rsidP="003D4233">
      <w:pPr>
        <w:numPr>
          <w:ilvl w:val="0"/>
          <w:numId w:val="2"/>
        </w:numPr>
        <w:jc w:val="both"/>
        <w:rPr>
          <w:color w:val="000000" w:themeColor="text1"/>
        </w:rPr>
      </w:pPr>
      <w:r w:rsidRPr="00B404E9">
        <w:rPr>
          <w:color w:val="000000" w:themeColor="text1"/>
        </w:rPr>
        <w:t xml:space="preserve">On 13 March 2014, the Panel decided to join the complaint of Mrs Snežana Simonović (no. 258/09) with the </w:t>
      </w:r>
      <w:r w:rsidR="00963578" w:rsidRPr="00B404E9">
        <w:rPr>
          <w:color w:val="000000" w:themeColor="text1"/>
        </w:rPr>
        <w:t xml:space="preserve">joined case </w:t>
      </w:r>
      <w:r w:rsidR="00963578" w:rsidRPr="00B404E9">
        <w:rPr>
          <w:i/>
          <w:color w:val="000000" w:themeColor="text1"/>
        </w:rPr>
        <w:t xml:space="preserve">Mitrović et al </w:t>
      </w:r>
      <w:r w:rsidR="00963578" w:rsidRPr="00B404E9">
        <w:rPr>
          <w:color w:val="000000" w:themeColor="text1"/>
        </w:rPr>
        <w:t>(cases nos 144/09, 158/09, 209/09 and 210/09)</w:t>
      </w:r>
      <w:r w:rsidRPr="00B404E9">
        <w:rPr>
          <w:color w:val="000000" w:themeColor="text1"/>
        </w:rPr>
        <w:t>, pursuant to Rule 20 of the Panel’s Rules of Procedure.</w:t>
      </w:r>
    </w:p>
    <w:p w:rsidR="00D54450" w:rsidRPr="00B404E9" w:rsidRDefault="00D54450" w:rsidP="00D54450">
      <w:pPr>
        <w:pStyle w:val="ListParagraph"/>
        <w:rPr>
          <w:color w:val="000000" w:themeColor="text1"/>
        </w:rPr>
      </w:pPr>
    </w:p>
    <w:p w:rsidR="00D54450" w:rsidRPr="00B404E9" w:rsidRDefault="00D54450" w:rsidP="003D4233">
      <w:pPr>
        <w:pStyle w:val="Default"/>
        <w:numPr>
          <w:ilvl w:val="0"/>
          <w:numId w:val="2"/>
        </w:numPr>
        <w:jc w:val="both"/>
        <w:rPr>
          <w:lang w:val="en-GB"/>
        </w:rPr>
      </w:pPr>
      <w:r w:rsidRPr="00B404E9">
        <w:rPr>
          <w:lang w:val="en-GB"/>
        </w:rPr>
        <w:t>On 17 March 2014, the Panel forwarded its joinder decision of 13 March 2014 to the SRSG</w:t>
      </w:r>
      <w:r w:rsidR="00963578" w:rsidRPr="00B404E9">
        <w:rPr>
          <w:lang w:val="en-GB"/>
        </w:rPr>
        <w:t>,</w:t>
      </w:r>
      <w:r w:rsidRPr="00B404E9">
        <w:rPr>
          <w:lang w:val="en-GB"/>
        </w:rPr>
        <w:t xml:space="preserve"> </w:t>
      </w:r>
      <w:r w:rsidR="00963578" w:rsidRPr="00B404E9">
        <w:rPr>
          <w:lang w:val="en-GB"/>
        </w:rPr>
        <w:t xml:space="preserve">requesting </w:t>
      </w:r>
      <w:r w:rsidRPr="00B404E9">
        <w:rPr>
          <w:lang w:val="en-GB"/>
        </w:rPr>
        <w:t xml:space="preserve">UNMIK’s comments on the merits of the </w:t>
      </w:r>
      <w:r w:rsidR="004F65AD">
        <w:rPr>
          <w:lang w:val="en-GB"/>
        </w:rPr>
        <w:t xml:space="preserve">five </w:t>
      </w:r>
      <w:r w:rsidRPr="00B404E9">
        <w:rPr>
          <w:lang w:val="en-GB"/>
        </w:rPr>
        <w:t>join</w:t>
      </w:r>
      <w:r w:rsidR="00811380">
        <w:rPr>
          <w:lang w:val="en-GB"/>
        </w:rPr>
        <w:t>ed</w:t>
      </w:r>
      <w:r w:rsidRPr="00B404E9">
        <w:rPr>
          <w:lang w:val="en-GB"/>
        </w:rPr>
        <w:t xml:space="preserve"> complaints.</w:t>
      </w:r>
    </w:p>
    <w:p w:rsidR="00F7574F" w:rsidRPr="00B404E9" w:rsidRDefault="00F7574F" w:rsidP="00F7574F">
      <w:pPr>
        <w:pStyle w:val="ListParagraph"/>
        <w:rPr>
          <w:color w:val="000000" w:themeColor="text1"/>
        </w:rPr>
      </w:pPr>
    </w:p>
    <w:p w:rsidR="00C05D15" w:rsidRPr="00B404E9" w:rsidRDefault="00C05D15" w:rsidP="003D4233">
      <w:pPr>
        <w:numPr>
          <w:ilvl w:val="0"/>
          <w:numId w:val="2"/>
        </w:numPr>
        <w:jc w:val="both"/>
        <w:rPr>
          <w:color w:val="000000" w:themeColor="text1"/>
        </w:rPr>
      </w:pPr>
      <w:bookmarkStart w:id="4" w:name="_Ref398291091"/>
      <w:r w:rsidRPr="00B404E9">
        <w:rPr>
          <w:color w:val="000000" w:themeColor="text1"/>
        </w:rPr>
        <w:t xml:space="preserve">On </w:t>
      </w:r>
      <w:r w:rsidR="008C6B10" w:rsidRPr="00B404E9">
        <w:rPr>
          <w:color w:val="000000" w:themeColor="text1"/>
        </w:rPr>
        <w:t>9</w:t>
      </w:r>
      <w:r w:rsidRPr="00B404E9">
        <w:rPr>
          <w:color w:val="000000" w:themeColor="text1"/>
        </w:rPr>
        <w:t xml:space="preserve"> </w:t>
      </w:r>
      <w:r w:rsidR="008C6B10" w:rsidRPr="00B404E9">
        <w:rPr>
          <w:color w:val="000000" w:themeColor="text1"/>
        </w:rPr>
        <w:t>April 2014</w:t>
      </w:r>
      <w:r w:rsidRPr="00B404E9">
        <w:rPr>
          <w:color w:val="000000" w:themeColor="text1"/>
        </w:rPr>
        <w:t>, the</w:t>
      </w:r>
      <w:r w:rsidR="003B682A">
        <w:rPr>
          <w:color w:val="000000" w:themeColor="text1"/>
        </w:rPr>
        <w:t xml:space="preserve"> SRSG provided UNMIK’s response, together with the copies of the available relevant investigative documents.</w:t>
      </w:r>
      <w:bookmarkEnd w:id="4"/>
      <w:r w:rsidR="003B682A">
        <w:rPr>
          <w:color w:val="000000" w:themeColor="text1"/>
        </w:rPr>
        <w:t xml:space="preserve"> </w:t>
      </w:r>
    </w:p>
    <w:p w:rsidR="00F700DC" w:rsidRPr="00B404E9" w:rsidRDefault="00F700DC" w:rsidP="00F700DC">
      <w:pPr>
        <w:rPr>
          <w:lang w:val="en-GB"/>
        </w:rPr>
      </w:pPr>
    </w:p>
    <w:p w:rsidR="00B867F5" w:rsidRPr="00B404E9" w:rsidRDefault="00B867F5" w:rsidP="003D4233">
      <w:pPr>
        <w:numPr>
          <w:ilvl w:val="0"/>
          <w:numId w:val="2"/>
        </w:numPr>
        <w:jc w:val="both"/>
        <w:rPr>
          <w:color w:val="000000" w:themeColor="text1"/>
        </w:rPr>
      </w:pPr>
      <w:r w:rsidRPr="00B404E9">
        <w:rPr>
          <w:color w:val="000000" w:themeColor="text1"/>
        </w:rPr>
        <w:t xml:space="preserve">On </w:t>
      </w:r>
      <w:r w:rsidR="00F7574F" w:rsidRPr="00B404E9">
        <w:rPr>
          <w:color w:val="000000" w:themeColor="text1"/>
        </w:rPr>
        <w:t>22</w:t>
      </w:r>
      <w:r w:rsidRPr="00B404E9">
        <w:rPr>
          <w:color w:val="000000" w:themeColor="text1"/>
        </w:rPr>
        <w:t xml:space="preserve"> </w:t>
      </w:r>
      <w:r w:rsidR="00F700DC" w:rsidRPr="00B404E9">
        <w:rPr>
          <w:color w:val="000000" w:themeColor="text1"/>
        </w:rPr>
        <w:t>April</w:t>
      </w:r>
      <w:r w:rsidRPr="00B404E9">
        <w:rPr>
          <w:color w:val="000000" w:themeColor="text1"/>
        </w:rPr>
        <w:t xml:space="preserve"> 2014, the Panel decided to </w:t>
      </w:r>
      <w:r w:rsidR="00963578" w:rsidRPr="00B404E9">
        <w:rPr>
          <w:color w:val="000000" w:themeColor="text1"/>
        </w:rPr>
        <w:t xml:space="preserve">add </w:t>
      </w:r>
      <w:r w:rsidRPr="00B404E9">
        <w:rPr>
          <w:color w:val="000000" w:themeColor="text1"/>
        </w:rPr>
        <w:t xml:space="preserve">the complaint of </w:t>
      </w:r>
      <w:r w:rsidR="005362F7" w:rsidRPr="00B404E9">
        <w:rPr>
          <w:color w:val="000000" w:themeColor="text1"/>
        </w:rPr>
        <w:t>Mr Jeremija Šuljinić (no. 276/09)</w:t>
      </w:r>
      <w:r w:rsidRPr="00B404E9">
        <w:rPr>
          <w:color w:val="000000" w:themeColor="text1"/>
        </w:rPr>
        <w:t xml:space="preserve"> </w:t>
      </w:r>
      <w:r w:rsidR="00963578" w:rsidRPr="00B404E9">
        <w:rPr>
          <w:color w:val="000000" w:themeColor="text1"/>
        </w:rPr>
        <w:t xml:space="preserve">to </w:t>
      </w:r>
      <w:r w:rsidRPr="00B404E9">
        <w:rPr>
          <w:color w:val="000000" w:themeColor="text1"/>
        </w:rPr>
        <w:t>the previously joined c</w:t>
      </w:r>
      <w:r w:rsidR="00963578" w:rsidRPr="00B404E9">
        <w:rPr>
          <w:color w:val="000000" w:themeColor="text1"/>
        </w:rPr>
        <w:t>ase</w:t>
      </w:r>
      <w:r w:rsidRPr="00B404E9">
        <w:rPr>
          <w:color w:val="000000" w:themeColor="text1"/>
        </w:rPr>
        <w:t xml:space="preserve"> </w:t>
      </w:r>
      <w:r w:rsidRPr="00B404E9">
        <w:rPr>
          <w:i/>
          <w:color w:val="000000" w:themeColor="text1"/>
        </w:rPr>
        <w:t xml:space="preserve">Mitrović </w:t>
      </w:r>
      <w:r w:rsidR="00963578" w:rsidRPr="00B404E9">
        <w:rPr>
          <w:i/>
          <w:color w:val="000000" w:themeColor="text1"/>
        </w:rPr>
        <w:t xml:space="preserve">et al </w:t>
      </w:r>
      <w:r w:rsidRPr="00B404E9">
        <w:rPr>
          <w:color w:val="000000" w:themeColor="text1"/>
        </w:rPr>
        <w:t>(case</w:t>
      </w:r>
      <w:r w:rsidR="00963578" w:rsidRPr="00B404E9">
        <w:rPr>
          <w:color w:val="000000" w:themeColor="text1"/>
        </w:rPr>
        <w:t>s</w:t>
      </w:r>
      <w:r w:rsidRPr="00B404E9">
        <w:rPr>
          <w:color w:val="000000" w:themeColor="text1"/>
        </w:rPr>
        <w:t xml:space="preserve"> no</w:t>
      </w:r>
      <w:r w:rsidR="00963578" w:rsidRPr="00B404E9">
        <w:rPr>
          <w:color w:val="000000" w:themeColor="text1"/>
        </w:rPr>
        <w:t>s</w:t>
      </w:r>
      <w:r w:rsidRPr="00B404E9">
        <w:rPr>
          <w:color w:val="000000" w:themeColor="text1"/>
        </w:rPr>
        <w:t xml:space="preserve"> 144/09</w:t>
      </w:r>
      <w:r w:rsidR="00963578" w:rsidRPr="00B404E9">
        <w:rPr>
          <w:color w:val="000000" w:themeColor="text1"/>
        </w:rPr>
        <w:t>,</w:t>
      </w:r>
      <w:r w:rsidRPr="00B404E9">
        <w:rPr>
          <w:color w:val="000000" w:themeColor="text1"/>
        </w:rPr>
        <w:t xml:space="preserve"> 158/09</w:t>
      </w:r>
      <w:r w:rsidR="00F54011" w:rsidRPr="00B404E9">
        <w:rPr>
          <w:color w:val="000000" w:themeColor="text1"/>
        </w:rPr>
        <w:t>, 209/09</w:t>
      </w:r>
      <w:r w:rsidR="00963578" w:rsidRPr="00B404E9">
        <w:rPr>
          <w:color w:val="000000" w:themeColor="text1"/>
        </w:rPr>
        <w:t>,</w:t>
      </w:r>
      <w:r w:rsidR="00F54011" w:rsidRPr="00B404E9">
        <w:rPr>
          <w:color w:val="000000" w:themeColor="text1"/>
        </w:rPr>
        <w:t xml:space="preserve"> 210/09</w:t>
      </w:r>
      <w:r w:rsidR="00963578" w:rsidRPr="00B404E9">
        <w:rPr>
          <w:color w:val="000000" w:themeColor="text1"/>
        </w:rPr>
        <w:t xml:space="preserve"> and</w:t>
      </w:r>
      <w:r w:rsidR="00286059" w:rsidRPr="00B404E9">
        <w:rPr>
          <w:color w:val="000000" w:themeColor="text1"/>
        </w:rPr>
        <w:t xml:space="preserve"> 258/09) </w:t>
      </w:r>
      <w:r w:rsidRPr="00B404E9">
        <w:rPr>
          <w:color w:val="000000" w:themeColor="text1"/>
        </w:rPr>
        <w:t>pursuant to Rule 20 of the Panel’s Rules of Procedure.</w:t>
      </w:r>
    </w:p>
    <w:p w:rsidR="00BE2EF2" w:rsidRPr="00B404E9" w:rsidRDefault="00BE2EF2" w:rsidP="00BE2EF2">
      <w:pPr>
        <w:pStyle w:val="Default"/>
        <w:ind w:left="360"/>
        <w:jc w:val="both"/>
        <w:rPr>
          <w:lang w:val="en-GB"/>
        </w:rPr>
      </w:pPr>
    </w:p>
    <w:p w:rsidR="00963578" w:rsidRDefault="00F7574F" w:rsidP="003D4233">
      <w:pPr>
        <w:pStyle w:val="Default"/>
        <w:numPr>
          <w:ilvl w:val="0"/>
          <w:numId w:val="2"/>
        </w:numPr>
        <w:jc w:val="both"/>
        <w:rPr>
          <w:lang w:val="en-GB"/>
        </w:rPr>
      </w:pPr>
      <w:r w:rsidRPr="00B404E9">
        <w:rPr>
          <w:lang w:val="en-GB"/>
        </w:rPr>
        <w:t xml:space="preserve">On </w:t>
      </w:r>
      <w:r w:rsidR="00286059" w:rsidRPr="00B404E9">
        <w:rPr>
          <w:lang w:val="en-GB"/>
        </w:rPr>
        <w:t>23</w:t>
      </w:r>
      <w:r w:rsidRPr="00B404E9">
        <w:rPr>
          <w:lang w:val="en-GB"/>
        </w:rPr>
        <w:t xml:space="preserve"> </w:t>
      </w:r>
      <w:r w:rsidR="00B76128" w:rsidRPr="00B404E9">
        <w:rPr>
          <w:lang w:val="en-GB"/>
        </w:rPr>
        <w:t>April</w:t>
      </w:r>
      <w:r w:rsidRPr="00B404E9">
        <w:rPr>
          <w:lang w:val="en-GB"/>
        </w:rPr>
        <w:t xml:space="preserve"> 20</w:t>
      </w:r>
      <w:r w:rsidR="00286059" w:rsidRPr="00B404E9">
        <w:rPr>
          <w:lang w:val="en-GB"/>
        </w:rPr>
        <w:t>14</w:t>
      </w:r>
      <w:r w:rsidRPr="00B404E9">
        <w:rPr>
          <w:lang w:val="en-GB"/>
        </w:rPr>
        <w:t xml:space="preserve">, </w:t>
      </w:r>
      <w:r w:rsidR="00963578" w:rsidRPr="00B404E9">
        <w:rPr>
          <w:lang w:val="en-GB"/>
        </w:rPr>
        <w:t>the Panel</w:t>
      </w:r>
      <w:r w:rsidR="00963578" w:rsidRPr="00963578">
        <w:rPr>
          <w:lang w:val="en-GB"/>
        </w:rPr>
        <w:t xml:space="preserve"> forwarded its joinder decision of 22 April 2014 to the SRSG, requesting </w:t>
      </w:r>
      <w:r w:rsidR="00963578">
        <w:rPr>
          <w:lang w:val="en-GB"/>
        </w:rPr>
        <w:t xml:space="preserve">any additional </w:t>
      </w:r>
      <w:r w:rsidR="00963578" w:rsidRPr="00963578">
        <w:rPr>
          <w:lang w:val="en-GB"/>
        </w:rPr>
        <w:t xml:space="preserve">comments </w:t>
      </w:r>
      <w:r w:rsidR="00811380">
        <w:rPr>
          <w:lang w:val="en-GB"/>
        </w:rPr>
        <w:t xml:space="preserve">from UNMIK </w:t>
      </w:r>
      <w:r w:rsidR="00963578" w:rsidRPr="00963578">
        <w:rPr>
          <w:lang w:val="en-GB"/>
        </w:rPr>
        <w:t xml:space="preserve">on the merits of the </w:t>
      </w:r>
      <w:r w:rsidR="00963578">
        <w:rPr>
          <w:lang w:val="en-GB"/>
        </w:rPr>
        <w:t xml:space="preserve">six </w:t>
      </w:r>
      <w:r w:rsidR="00963578" w:rsidRPr="00963578">
        <w:rPr>
          <w:lang w:val="en-GB"/>
        </w:rPr>
        <w:t>join</w:t>
      </w:r>
      <w:r w:rsidR="00811380">
        <w:rPr>
          <w:lang w:val="en-GB"/>
        </w:rPr>
        <w:t>ed</w:t>
      </w:r>
      <w:r w:rsidR="00963578" w:rsidRPr="00963578">
        <w:rPr>
          <w:lang w:val="en-GB"/>
        </w:rPr>
        <w:t xml:space="preserve"> complaints.</w:t>
      </w:r>
    </w:p>
    <w:p w:rsidR="00963578" w:rsidRDefault="00963578" w:rsidP="00963578">
      <w:pPr>
        <w:pStyle w:val="ListParagraph"/>
        <w:rPr>
          <w:lang w:val="en-GB"/>
        </w:rPr>
      </w:pPr>
    </w:p>
    <w:p w:rsidR="003B682A" w:rsidRDefault="004C27F8" w:rsidP="003D4233">
      <w:pPr>
        <w:pStyle w:val="Default"/>
        <w:numPr>
          <w:ilvl w:val="0"/>
          <w:numId w:val="2"/>
        </w:numPr>
        <w:jc w:val="both"/>
        <w:rPr>
          <w:color w:val="auto"/>
          <w:lang w:val="en-GB"/>
        </w:rPr>
      </w:pPr>
      <w:r w:rsidRPr="00F700DC">
        <w:rPr>
          <w:color w:val="000000" w:themeColor="text1"/>
          <w:lang w:val="en-GB"/>
        </w:rPr>
        <w:t>On 2 June 2014,</w:t>
      </w:r>
      <w:r w:rsidRPr="000253E8">
        <w:rPr>
          <w:color w:val="auto"/>
          <w:lang w:val="en-GB"/>
        </w:rPr>
        <w:t xml:space="preserve"> the Panel requested UNMIK to confirm whether the disclosure of the investigative files concerning the cases could be considered final</w:t>
      </w:r>
      <w:r w:rsidRPr="00B404E9">
        <w:rPr>
          <w:color w:val="auto"/>
          <w:lang w:val="en-GB"/>
        </w:rPr>
        <w:t>.</w:t>
      </w:r>
    </w:p>
    <w:p w:rsidR="003B682A" w:rsidRDefault="003B682A" w:rsidP="003B682A">
      <w:pPr>
        <w:pStyle w:val="ListParagraph"/>
        <w:rPr>
          <w:lang w:val="en-GB"/>
        </w:rPr>
      </w:pPr>
    </w:p>
    <w:p w:rsidR="004C27F8" w:rsidRDefault="004C27F8" w:rsidP="003D4233">
      <w:pPr>
        <w:pStyle w:val="Default"/>
        <w:numPr>
          <w:ilvl w:val="0"/>
          <w:numId w:val="2"/>
        </w:numPr>
        <w:jc w:val="both"/>
        <w:rPr>
          <w:color w:val="auto"/>
          <w:lang w:val="en-GB"/>
        </w:rPr>
      </w:pPr>
      <w:bookmarkStart w:id="5" w:name="_Ref398312355"/>
      <w:r w:rsidRPr="00B404E9">
        <w:rPr>
          <w:color w:val="auto"/>
          <w:lang w:val="en-GB"/>
        </w:rPr>
        <w:t>On 6 June 2014, UNMIK</w:t>
      </w:r>
      <w:r w:rsidRPr="000253E8">
        <w:rPr>
          <w:color w:val="auto"/>
          <w:lang w:val="en-GB"/>
        </w:rPr>
        <w:t xml:space="preserve"> provided its response.</w:t>
      </w:r>
      <w:bookmarkEnd w:id="5"/>
    </w:p>
    <w:p w:rsidR="004C27F8" w:rsidRDefault="004C27F8" w:rsidP="004C27F8">
      <w:pPr>
        <w:pStyle w:val="ListParagraph"/>
        <w:rPr>
          <w:lang w:val="en-GB"/>
        </w:rPr>
      </w:pPr>
    </w:p>
    <w:p w:rsidR="003B682A" w:rsidRDefault="003B682A" w:rsidP="003D4233">
      <w:pPr>
        <w:pStyle w:val="Default"/>
        <w:numPr>
          <w:ilvl w:val="0"/>
          <w:numId w:val="2"/>
        </w:numPr>
        <w:jc w:val="both"/>
        <w:rPr>
          <w:color w:val="auto"/>
          <w:lang w:val="en-GB"/>
        </w:rPr>
      </w:pPr>
      <w:r>
        <w:rPr>
          <w:color w:val="auto"/>
          <w:lang w:val="en-GB"/>
        </w:rPr>
        <w:t xml:space="preserve">On 3 July 2014, the Panel asked UNMIK for additional information in relation to the complaint of </w:t>
      </w:r>
      <w:r w:rsidRPr="00B404E9">
        <w:rPr>
          <w:color w:val="000000" w:themeColor="text1"/>
        </w:rPr>
        <w:t xml:space="preserve">Mrs Snežana Simonović </w:t>
      </w:r>
      <w:r>
        <w:rPr>
          <w:color w:val="000000" w:themeColor="text1"/>
        </w:rPr>
        <w:t>(</w:t>
      </w:r>
      <w:r>
        <w:rPr>
          <w:color w:val="auto"/>
          <w:lang w:val="en-GB"/>
        </w:rPr>
        <w:t>case no. 258/09).</w:t>
      </w:r>
    </w:p>
    <w:p w:rsidR="003B682A" w:rsidRDefault="003B682A" w:rsidP="003B682A">
      <w:pPr>
        <w:pStyle w:val="ListParagraph"/>
        <w:rPr>
          <w:lang w:val="en-GB"/>
        </w:rPr>
      </w:pPr>
    </w:p>
    <w:p w:rsidR="003B682A" w:rsidRPr="00B404E9" w:rsidRDefault="00BA4EA7" w:rsidP="003D4233">
      <w:pPr>
        <w:numPr>
          <w:ilvl w:val="0"/>
          <w:numId w:val="2"/>
        </w:numPr>
        <w:jc w:val="both"/>
        <w:rPr>
          <w:color w:val="000000" w:themeColor="text1"/>
        </w:rPr>
      </w:pPr>
      <w:bookmarkStart w:id="6" w:name="_Ref398291103"/>
      <w:r w:rsidRPr="003B682A">
        <w:rPr>
          <w:color w:val="000000" w:themeColor="text1"/>
          <w:lang w:val="en-GB"/>
        </w:rPr>
        <w:t xml:space="preserve">On </w:t>
      </w:r>
      <w:r w:rsidR="003B682A" w:rsidRPr="003B682A">
        <w:rPr>
          <w:color w:val="000000" w:themeColor="text1"/>
          <w:lang w:val="en-GB"/>
        </w:rPr>
        <w:t>16</w:t>
      </w:r>
      <w:r w:rsidR="00304786" w:rsidRPr="003B682A">
        <w:rPr>
          <w:color w:val="000000" w:themeColor="text1"/>
          <w:lang w:val="en-GB"/>
        </w:rPr>
        <w:t xml:space="preserve"> </w:t>
      </w:r>
      <w:r w:rsidR="00B404E9" w:rsidRPr="003B682A">
        <w:rPr>
          <w:color w:val="000000" w:themeColor="text1"/>
          <w:lang w:val="en-GB"/>
        </w:rPr>
        <w:t>Ju</w:t>
      </w:r>
      <w:r w:rsidR="003B682A" w:rsidRPr="003B682A">
        <w:rPr>
          <w:color w:val="000000" w:themeColor="text1"/>
          <w:lang w:val="en-GB"/>
        </w:rPr>
        <w:t>ly</w:t>
      </w:r>
      <w:r w:rsidR="006A7655" w:rsidRPr="003B682A">
        <w:rPr>
          <w:color w:val="000000" w:themeColor="text1"/>
          <w:lang w:val="en-GB"/>
        </w:rPr>
        <w:t xml:space="preserve"> 201</w:t>
      </w:r>
      <w:r w:rsidR="00286059" w:rsidRPr="003B682A">
        <w:rPr>
          <w:color w:val="000000" w:themeColor="text1"/>
          <w:lang w:val="en-GB"/>
        </w:rPr>
        <w:t>4</w:t>
      </w:r>
      <w:r w:rsidRPr="000253E8">
        <w:rPr>
          <w:lang w:val="en-GB"/>
        </w:rPr>
        <w:t xml:space="preserve">, the </w:t>
      </w:r>
      <w:r w:rsidR="00286059">
        <w:rPr>
          <w:lang w:val="en-GB"/>
        </w:rPr>
        <w:t>SRSG provided UNMIK’s response</w:t>
      </w:r>
      <w:r w:rsidR="004C27F8">
        <w:rPr>
          <w:lang w:val="en-GB"/>
        </w:rPr>
        <w:t xml:space="preserve"> with regard to the </w:t>
      </w:r>
      <w:r w:rsidR="004C27F8" w:rsidRPr="00963578">
        <w:rPr>
          <w:lang w:val="en-GB"/>
        </w:rPr>
        <w:t xml:space="preserve">merits of the </w:t>
      </w:r>
      <w:r w:rsidR="004C27F8">
        <w:rPr>
          <w:lang w:val="en-GB"/>
        </w:rPr>
        <w:t xml:space="preserve">six </w:t>
      </w:r>
      <w:r w:rsidR="004C27F8" w:rsidRPr="00963578">
        <w:rPr>
          <w:lang w:val="en-GB"/>
        </w:rPr>
        <w:t>join</w:t>
      </w:r>
      <w:r w:rsidR="00811380">
        <w:rPr>
          <w:lang w:val="en-GB"/>
        </w:rPr>
        <w:t>ed</w:t>
      </w:r>
      <w:r w:rsidR="004C27F8" w:rsidRPr="00963578">
        <w:rPr>
          <w:lang w:val="en-GB"/>
        </w:rPr>
        <w:t xml:space="preserve"> complaints</w:t>
      </w:r>
      <w:r w:rsidR="003B682A">
        <w:rPr>
          <w:lang w:val="en-GB"/>
        </w:rPr>
        <w:t xml:space="preserve">, together with the copies of the </w:t>
      </w:r>
      <w:r w:rsidR="003B682A">
        <w:rPr>
          <w:color w:val="000000" w:themeColor="text1"/>
        </w:rPr>
        <w:t xml:space="preserve">available relevant investigative documents in relation to the complaint of Mr Jeremija </w:t>
      </w:r>
      <w:r w:rsidR="003B682A" w:rsidRPr="00B404E9">
        <w:rPr>
          <w:color w:val="000000" w:themeColor="text1"/>
        </w:rPr>
        <w:t xml:space="preserve">Šuljinić </w:t>
      </w:r>
      <w:r w:rsidR="003B682A">
        <w:rPr>
          <w:color w:val="000000" w:themeColor="text1"/>
        </w:rPr>
        <w:t>(case no. 276/09).</w:t>
      </w:r>
      <w:bookmarkEnd w:id="6"/>
    </w:p>
    <w:p w:rsidR="00D32007" w:rsidRDefault="00D32007" w:rsidP="00D32007">
      <w:pPr>
        <w:pStyle w:val="ListParagraph"/>
        <w:rPr>
          <w:lang w:val="en-GB"/>
        </w:rPr>
      </w:pPr>
    </w:p>
    <w:p w:rsidR="00D32007" w:rsidRPr="000253E8" w:rsidRDefault="00D32007" w:rsidP="003D4233">
      <w:pPr>
        <w:pStyle w:val="Default"/>
        <w:numPr>
          <w:ilvl w:val="0"/>
          <w:numId w:val="2"/>
        </w:numPr>
        <w:jc w:val="both"/>
        <w:rPr>
          <w:color w:val="auto"/>
          <w:lang w:val="en-GB"/>
        </w:rPr>
      </w:pPr>
      <w:r>
        <w:rPr>
          <w:color w:val="auto"/>
          <w:lang w:val="en-GB"/>
        </w:rPr>
        <w:t>On 9 September 2014, UNMIK</w:t>
      </w:r>
      <w:r w:rsidR="00051D3B">
        <w:rPr>
          <w:color w:val="auto"/>
          <w:lang w:val="en-GB"/>
        </w:rPr>
        <w:t xml:space="preserve"> provided its </w:t>
      </w:r>
      <w:r w:rsidR="008D4228">
        <w:rPr>
          <w:color w:val="auto"/>
          <w:lang w:val="en-GB"/>
        </w:rPr>
        <w:t>response</w:t>
      </w:r>
      <w:r w:rsidR="003B682A">
        <w:rPr>
          <w:color w:val="auto"/>
          <w:lang w:val="en-GB"/>
        </w:rPr>
        <w:t xml:space="preserve"> to the Panel’s request for additional information of 3 July 2014</w:t>
      </w:r>
      <w:r>
        <w:rPr>
          <w:color w:val="auto"/>
          <w:lang w:val="en-GB"/>
        </w:rPr>
        <w:t>.</w:t>
      </w:r>
    </w:p>
    <w:p w:rsidR="0038203A" w:rsidRPr="000253E8" w:rsidRDefault="0038203A" w:rsidP="00BA4EA7">
      <w:pPr>
        <w:pStyle w:val="ListParagraph"/>
        <w:ind w:left="0"/>
        <w:rPr>
          <w:lang w:val="en-GB"/>
        </w:rPr>
      </w:pPr>
    </w:p>
    <w:p w:rsidR="00625F42" w:rsidRPr="008F2CBE" w:rsidRDefault="00625F42" w:rsidP="00625F42">
      <w:pPr>
        <w:rPr>
          <w:lang w:val="en-GB"/>
        </w:rPr>
      </w:pPr>
    </w:p>
    <w:p w:rsidR="007C65E0" w:rsidRPr="008F2CBE" w:rsidRDefault="007C65E0" w:rsidP="003D4233">
      <w:pPr>
        <w:numPr>
          <w:ilvl w:val="0"/>
          <w:numId w:val="1"/>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3D4233">
      <w:pPr>
        <w:numPr>
          <w:ilvl w:val="0"/>
          <w:numId w:val="3"/>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E90F47" w:rsidRPr="00BA4EA7" w:rsidRDefault="00E90F47" w:rsidP="00E90F47">
      <w:pPr>
        <w:pStyle w:val="ListParagraph"/>
        <w:numPr>
          <w:ilvl w:val="0"/>
          <w:numId w:val="2"/>
        </w:numPr>
        <w:jc w:val="both"/>
        <w:rPr>
          <w:lang w:val="en-GB"/>
        </w:rPr>
      </w:pPr>
      <w:r w:rsidRPr="00BA4EA7">
        <w:rPr>
          <w:lang w:val="en-GB"/>
        </w:rPr>
        <w:t xml:space="preserve">The events at issue took place in the territory of </w:t>
      </w:r>
      <w:r w:rsidRPr="007E788B">
        <w:rPr>
          <w:lang w:val="en-GB"/>
        </w:rPr>
        <w:t>Kosovo during the armed conflict and after</w:t>
      </w:r>
      <w:r w:rsidRPr="00051D3B">
        <w:rPr>
          <w:lang w:val="en-GB"/>
        </w:rPr>
        <w:t xml:space="preserve"> t</w:t>
      </w:r>
      <w:r w:rsidRPr="00BA4EA7">
        <w:rPr>
          <w:lang w:val="en-GB"/>
        </w:rPr>
        <w:t>he establishment</w:t>
      </w:r>
      <w:r>
        <w:rPr>
          <w:lang w:val="en-GB"/>
        </w:rPr>
        <w:t xml:space="preserve"> in June 1999</w:t>
      </w:r>
      <w:r w:rsidRPr="00BA4EA7">
        <w:rPr>
          <w:lang w:val="en-GB"/>
        </w:rPr>
        <w:t xml:space="preserve"> of the United Nations Interim Administration Mission</w:t>
      </w:r>
      <w:r>
        <w:rPr>
          <w:lang w:val="en-GB"/>
        </w:rPr>
        <w:t xml:space="preserve"> in Kosovo (UNMIK).</w:t>
      </w:r>
    </w:p>
    <w:p w:rsidR="00B06960" w:rsidRPr="00D22581" w:rsidRDefault="00B06960" w:rsidP="00B06960">
      <w:pPr>
        <w:pStyle w:val="ListParagraph"/>
        <w:ind w:left="360"/>
        <w:jc w:val="both"/>
        <w:rPr>
          <w:lang w:val="en-GB"/>
        </w:rPr>
      </w:pPr>
    </w:p>
    <w:p w:rsidR="00B06960" w:rsidRPr="00D22581" w:rsidRDefault="00B06960" w:rsidP="003D4233">
      <w:pPr>
        <w:numPr>
          <w:ilvl w:val="0"/>
          <w:numId w:val="2"/>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lastRenderedPageBreak/>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bookmarkStart w:id="9" w:name="_Ref398312960"/>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D22581" w:rsidRDefault="00B06960" w:rsidP="00B06960">
      <w:pPr>
        <w:pStyle w:val="ListParagraph"/>
        <w:rPr>
          <w:lang w:val="en-GB"/>
        </w:rPr>
      </w:pPr>
    </w:p>
    <w:p w:rsidR="00655881" w:rsidRDefault="00655881" w:rsidP="00655881">
      <w:pPr>
        <w:numPr>
          <w:ilvl w:val="0"/>
          <w:numId w:val="2"/>
        </w:numPr>
        <w:jc w:val="both"/>
        <w:rPr>
          <w:lang w:val="en-GB"/>
        </w:rPr>
      </w:pPr>
      <w:bookmarkStart w:id="11" w:name="_Ref346123927"/>
      <w:bookmarkEnd w:id="10"/>
      <w:r>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w:t>
      </w:r>
      <w:r>
        <w:rPr>
          <w:lang w:val="en-GB"/>
        </w:rPr>
        <w:lastRenderedPageBreak/>
        <w:t xml:space="preserve">missing persons and/or gravesites. The MPU, jointly with the Central Criminal Investigation Unit (CCIU) of UNMIK Police, and later a dedicated War Crimes Investigation Unit (WCIU), were responsible for the criminal aspects of missing </w:t>
      </w:r>
      <w:proofErr w:type="gramStart"/>
      <w:r>
        <w:rPr>
          <w:lang w:val="en-GB"/>
        </w:rPr>
        <w:t>persons</w:t>
      </w:r>
      <w:proofErr w:type="gramEnd"/>
      <w:r>
        <w:rPr>
          <w:lang w:val="en-GB"/>
        </w:rPr>
        <w:t xml:space="preserve"> cases in Kosovo. In May 2000, a Victim Recovery and Identification Commission chaired by UNMIK </w:t>
      </w:r>
      <w:proofErr w:type="gramStart"/>
      <w:r>
        <w:rPr>
          <w:lang w:val="en-GB"/>
        </w:rPr>
        <w:t>was</w:t>
      </w:r>
      <w:proofErr w:type="gramEnd"/>
      <w:r>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Pr>
          <w:lang w:val="en-GB"/>
        </w:rPr>
        <w:t>persons,</w:t>
      </w:r>
      <w:proofErr w:type="gramEnd"/>
      <w:r>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bookmarkStart w:id="12" w:name="_Ref401243163"/>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D22581" w:rsidRDefault="00B06960" w:rsidP="00B06960">
      <w:pPr>
        <w:pStyle w:val="ListParagraph"/>
        <w:rPr>
          <w:lang w:val="en-GB"/>
        </w:rPr>
      </w:pPr>
    </w:p>
    <w:p w:rsidR="00B06960" w:rsidRPr="006118D1" w:rsidRDefault="00B06960" w:rsidP="003D4233">
      <w:pPr>
        <w:numPr>
          <w:ilvl w:val="0"/>
          <w:numId w:val="2"/>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13"/>
    </w:p>
    <w:p w:rsidR="002127E0" w:rsidRPr="006118D1" w:rsidRDefault="002127E0" w:rsidP="00B869D6">
      <w:pPr>
        <w:jc w:val="both"/>
        <w:rPr>
          <w:lang w:val="en-GB"/>
        </w:rPr>
      </w:pPr>
    </w:p>
    <w:p w:rsidR="0020313F" w:rsidRPr="00213940" w:rsidRDefault="00192751" w:rsidP="003D4233">
      <w:pPr>
        <w:pStyle w:val="ListParagraph"/>
        <w:numPr>
          <w:ilvl w:val="0"/>
          <w:numId w:val="3"/>
        </w:numPr>
        <w:autoSpaceDE w:val="0"/>
        <w:jc w:val="both"/>
        <w:rPr>
          <w:b/>
          <w:bCs/>
          <w:lang w:val="en-GB"/>
        </w:rPr>
      </w:pPr>
      <w:r w:rsidRPr="00213940">
        <w:rPr>
          <w:b/>
          <w:bCs/>
          <w:lang w:val="en-GB"/>
        </w:rPr>
        <w:t xml:space="preserve">Circumstances </w:t>
      </w:r>
      <w:r w:rsidRPr="00BB260B">
        <w:rPr>
          <w:b/>
          <w:bCs/>
          <w:lang w:val="en-GB"/>
        </w:rPr>
        <w:t xml:space="preserve">surrounding the </w:t>
      </w:r>
      <w:r w:rsidR="00AE425E">
        <w:rPr>
          <w:b/>
          <w:bCs/>
          <w:lang w:val="en-GB"/>
        </w:rPr>
        <w:t>a</w:t>
      </w:r>
      <w:r w:rsidR="00AE425E" w:rsidRPr="00AE425E">
        <w:rPr>
          <w:b/>
          <w:bCs/>
          <w:lang w:val="en-GB"/>
        </w:rPr>
        <w:t xml:space="preserve">bduction and </w:t>
      </w:r>
      <w:r w:rsidR="00AE425E">
        <w:rPr>
          <w:b/>
          <w:bCs/>
          <w:lang w:val="en-GB"/>
        </w:rPr>
        <w:t xml:space="preserve">disappearance </w:t>
      </w:r>
      <w:r w:rsidR="00B404E9" w:rsidRPr="00BB260B">
        <w:rPr>
          <w:b/>
          <w:bCs/>
          <w:lang w:val="en-GB"/>
        </w:rPr>
        <w:t xml:space="preserve">of </w:t>
      </w:r>
      <w:r w:rsidR="00B404E9" w:rsidRPr="00BB260B">
        <w:rPr>
          <w:b/>
        </w:rPr>
        <w:t xml:space="preserve">Mr Slobodan Mitrović, Mr Milovan </w:t>
      </w:r>
      <w:r w:rsidR="00B404E9" w:rsidRPr="00BB260B">
        <w:rPr>
          <w:b/>
          <w:bCs/>
        </w:rPr>
        <w:t>Krstić</w:t>
      </w:r>
      <w:r w:rsidR="00BB260B" w:rsidRPr="00BB260B">
        <w:rPr>
          <w:b/>
          <w:bCs/>
        </w:rPr>
        <w:t>,</w:t>
      </w:r>
      <w:r w:rsidR="00B404E9" w:rsidRPr="00BB260B">
        <w:rPr>
          <w:b/>
        </w:rPr>
        <w:t xml:space="preserve"> Mr </w:t>
      </w:r>
      <w:r w:rsidR="00B404E9" w:rsidRPr="00BB260B">
        <w:rPr>
          <w:b/>
          <w:bCs/>
        </w:rPr>
        <w:t>Miodrag Krsti</w:t>
      </w:r>
      <w:r w:rsidR="00B404E9" w:rsidRPr="00BB260B">
        <w:rPr>
          <w:b/>
          <w:bCs/>
          <w:lang w:val="sr-Latn-CS"/>
        </w:rPr>
        <w:t>ć</w:t>
      </w:r>
      <w:r w:rsidR="00BB260B" w:rsidRPr="00BB260B">
        <w:rPr>
          <w:b/>
          <w:bCs/>
          <w:lang w:val="sr-Latn-CS"/>
        </w:rPr>
        <w:t>,</w:t>
      </w:r>
      <w:r w:rsidR="00B404E9" w:rsidRPr="00BB260B">
        <w:rPr>
          <w:b/>
          <w:bCs/>
          <w:lang w:val="sr-Latn-CS"/>
        </w:rPr>
        <w:t xml:space="preserve"> </w:t>
      </w:r>
      <w:r w:rsidR="00B404E9" w:rsidRPr="00BB260B">
        <w:rPr>
          <w:b/>
        </w:rPr>
        <w:t xml:space="preserve">Mr </w:t>
      </w:r>
      <w:r w:rsidR="00B404E9" w:rsidRPr="00BB260B">
        <w:rPr>
          <w:b/>
          <w:caps/>
        </w:rPr>
        <w:t>ž</w:t>
      </w:r>
      <w:r w:rsidR="00B404E9" w:rsidRPr="00BB260B">
        <w:rPr>
          <w:b/>
        </w:rPr>
        <w:t>ivorad Krstić</w:t>
      </w:r>
      <w:r w:rsidR="00BB260B" w:rsidRPr="00BB260B">
        <w:rPr>
          <w:b/>
        </w:rPr>
        <w:t xml:space="preserve"> and Mr Miroslav Šuljinić</w:t>
      </w:r>
    </w:p>
    <w:p w:rsidR="00A73D67" w:rsidRPr="00213940" w:rsidRDefault="00A73D67" w:rsidP="00A73D67">
      <w:pPr>
        <w:ind w:left="360"/>
        <w:jc w:val="both"/>
        <w:rPr>
          <w:lang w:val="en-GB"/>
        </w:rPr>
      </w:pPr>
    </w:p>
    <w:p w:rsidR="00B404E9" w:rsidRPr="00B404E9" w:rsidRDefault="00B404E9" w:rsidP="003D4233">
      <w:pPr>
        <w:numPr>
          <w:ilvl w:val="0"/>
          <w:numId w:val="6"/>
        </w:numPr>
        <w:jc w:val="both"/>
        <w:rPr>
          <w:bCs/>
        </w:rPr>
      </w:pPr>
      <w:r>
        <w:t>Mrs Ljiljana Mitrović</w:t>
      </w:r>
      <w:r w:rsidRPr="00B404E9">
        <w:rPr>
          <w:b/>
        </w:rPr>
        <w:t xml:space="preserve"> </w:t>
      </w:r>
      <w:r>
        <w:t>is the wife of Mr Slobodan Mitrović. Mrs</w:t>
      </w:r>
      <w:r w:rsidRPr="00B404E9">
        <w:rPr>
          <w:bCs/>
        </w:rPr>
        <w:t xml:space="preserve"> Danijela Krsti</w:t>
      </w:r>
      <w:r>
        <w:t xml:space="preserve">ć is the wife of Mr Milovan </w:t>
      </w:r>
      <w:r w:rsidRPr="00B404E9">
        <w:rPr>
          <w:bCs/>
        </w:rPr>
        <w:t>Krstić. Mrs Slobodanka Krsti</w:t>
      </w:r>
      <w:r>
        <w:t xml:space="preserve">ć is the mother of </w:t>
      </w:r>
      <w:r w:rsidRPr="00B404E9">
        <w:rPr>
          <w:bCs/>
        </w:rPr>
        <w:t>Mr Milovan Krstić and Mr Miodrag Krsti</w:t>
      </w:r>
      <w:r w:rsidRPr="00B404E9">
        <w:rPr>
          <w:bCs/>
          <w:lang w:val="sr-Latn-CS"/>
        </w:rPr>
        <w:t>ć.</w:t>
      </w:r>
      <w:r w:rsidRPr="00B404E9">
        <w:t xml:space="preserve"> Mrs </w:t>
      </w:r>
      <w:r w:rsidRPr="00B404E9">
        <w:rPr>
          <w:bCs/>
          <w:lang w:val="en-GB"/>
        </w:rPr>
        <w:t>Snežana Simonović</w:t>
      </w:r>
      <w:r w:rsidRPr="00B404E9">
        <w:t xml:space="preserve"> is</w:t>
      </w:r>
      <w:r>
        <w:t xml:space="preserve"> the daughter of Mr </w:t>
      </w:r>
      <w:r w:rsidRPr="00B404E9">
        <w:rPr>
          <w:caps/>
        </w:rPr>
        <w:t>ž</w:t>
      </w:r>
      <w:r>
        <w:t xml:space="preserve">ivorad Krstić. Mr Jeremija </w:t>
      </w:r>
      <w:r w:rsidRPr="004063F0">
        <w:t>Šuljinić is the brother of Mr Miroslav Šuljinić</w:t>
      </w:r>
      <w:r>
        <w:t>.</w:t>
      </w:r>
    </w:p>
    <w:p w:rsidR="001A43F5" w:rsidRDefault="001A43F5" w:rsidP="00BB260B">
      <w:pPr>
        <w:jc w:val="both"/>
        <w:rPr>
          <w:i/>
          <w:lang w:val="en-GB"/>
        </w:rPr>
      </w:pPr>
    </w:p>
    <w:p w:rsidR="00B404E9"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Mr Slobodan Mitrović</w:t>
      </w:r>
      <w:r w:rsidR="00BB260B">
        <w:rPr>
          <w:i/>
        </w:rPr>
        <w:t xml:space="preserve"> (</w:t>
      </w:r>
      <w:r w:rsidR="00BB260B" w:rsidRPr="00213940">
        <w:rPr>
          <w:i/>
          <w:lang w:val="en-GB"/>
        </w:rPr>
        <w:t>case</w:t>
      </w:r>
      <w:r w:rsidR="00BB260B">
        <w:rPr>
          <w:i/>
          <w:lang w:val="en-GB"/>
        </w:rPr>
        <w:t xml:space="preserve"> no. 144</w:t>
      </w:r>
      <w:r w:rsidR="00BB260B" w:rsidRPr="00213940">
        <w:rPr>
          <w:i/>
          <w:lang w:val="en-GB"/>
        </w:rPr>
        <w:t>/09</w:t>
      </w:r>
      <w:r w:rsidR="00BB260B">
        <w:rPr>
          <w:i/>
          <w:lang w:val="en-GB"/>
        </w:rPr>
        <w:t>)</w:t>
      </w:r>
    </w:p>
    <w:p w:rsidR="001A43F5" w:rsidRPr="001A43F5" w:rsidRDefault="001A43F5" w:rsidP="00BB260B">
      <w:pPr>
        <w:jc w:val="both"/>
        <w:rPr>
          <w:lang w:val="en-GB"/>
        </w:rPr>
      </w:pPr>
    </w:p>
    <w:p w:rsidR="00343F54" w:rsidRPr="008A2088" w:rsidRDefault="00343F54" w:rsidP="003D4233">
      <w:pPr>
        <w:numPr>
          <w:ilvl w:val="0"/>
          <w:numId w:val="2"/>
        </w:numPr>
        <w:jc w:val="both"/>
        <w:rPr>
          <w:i/>
          <w:lang w:val="en-GB"/>
        </w:rPr>
      </w:pPr>
      <w:bookmarkStart w:id="14" w:name="_Ref390163967"/>
      <w:r w:rsidRPr="00343F54">
        <w:rPr>
          <w:lang w:val="en-GB"/>
        </w:rPr>
        <w:t xml:space="preserve">According to Mrs </w:t>
      </w:r>
      <w:r>
        <w:t xml:space="preserve">Ljiljana </w:t>
      </w:r>
      <w:r w:rsidRPr="00343F54">
        <w:rPr>
          <w:lang w:val="en-GB"/>
        </w:rPr>
        <w:t>Mitrović, her husband</w:t>
      </w:r>
      <w:r w:rsidR="000E215B">
        <w:rPr>
          <w:lang w:val="en-GB"/>
        </w:rPr>
        <w:t>, Mr</w:t>
      </w:r>
      <w:r w:rsidR="000E215B" w:rsidRPr="000E215B">
        <w:t xml:space="preserve"> </w:t>
      </w:r>
      <w:r w:rsidR="000E215B">
        <w:t>Slobodan Mitrović,</w:t>
      </w:r>
      <w:r w:rsidRPr="00343F54">
        <w:rPr>
          <w:lang w:val="en-GB"/>
        </w:rPr>
        <w:t xml:space="preserve"> </w:t>
      </w:r>
      <w:r w:rsidRPr="00343F54">
        <w:t xml:space="preserve">was abducted </w:t>
      </w:r>
      <w:r>
        <w:t xml:space="preserve">together with </w:t>
      </w:r>
      <w:r w:rsidRPr="00343F54">
        <w:rPr>
          <w:lang w:val="en-GB"/>
        </w:rPr>
        <w:t xml:space="preserve">Mr </w:t>
      </w:r>
      <w:r w:rsidRPr="00343F54">
        <w:t xml:space="preserve">Milovan </w:t>
      </w:r>
      <w:r w:rsidRPr="00343F54">
        <w:rPr>
          <w:bCs/>
        </w:rPr>
        <w:t>Krstić</w:t>
      </w:r>
      <w:r w:rsidR="00811380">
        <w:rPr>
          <w:bCs/>
        </w:rPr>
        <w:t xml:space="preserve"> and </w:t>
      </w:r>
      <w:r w:rsidRPr="00343F54">
        <w:t xml:space="preserve">Mr </w:t>
      </w:r>
      <w:r w:rsidRPr="00343F54">
        <w:rPr>
          <w:bCs/>
        </w:rPr>
        <w:t>Miodrag Krsti</w:t>
      </w:r>
      <w:r w:rsidRPr="00343F54">
        <w:rPr>
          <w:bCs/>
          <w:lang w:val="sr-Latn-CS"/>
        </w:rPr>
        <w:t xml:space="preserve">ć, </w:t>
      </w:r>
      <w:r w:rsidRPr="00343F54">
        <w:t>on 24 June 199</w:t>
      </w:r>
      <w:r>
        <w:t>8,</w:t>
      </w:r>
      <w:r w:rsidRPr="00343F54">
        <w:t xml:space="preserve"> by arm</w:t>
      </w:r>
      <w:r>
        <w:t xml:space="preserve">ed KLA members, somewhere on the road between Shtime/Štimlje and the village of Duhël/Dulje, </w:t>
      </w:r>
      <w:r>
        <w:lastRenderedPageBreak/>
        <w:t>municipality of Suharekë/Suva Reka.</w:t>
      </w:r>
      <w:bookmarkEnd w:id="14"/>
      <w:r w:rsidR="008A2088">
        <w:t xml:space="preserve"> </w:t>
      </w:r>
      <w:r w:rsidR="0048409F">
        <w:t>Since</w:t>
      </w:r>
      <w:r w:rsidR="008A2088">
        <w:t xml:space="preserve"> that time his whereabouts </w:t>
      </w:r>
      <w:r w:rsidR="00811380">
        <w:t xml:space="preserve">have </w:t>
      </w:r>
      <w:r w:rsidR="008A2088">
        <w:t>remain</w:t>
      </w:r>
      <w:r w:rsidR="00811380">
        <w:t>ed</w:t>
      </w:r>
      <w:r w:rsidR="008A2088">
        <w:t xml:space="preserve"> unknown.</w:t>
      </w:r>
    </w:p>
    <w:p w:rsidR="008A2088" w:rsidRPr="008A2088" w:rsidRDefault="008A2088" w:rsidP="008A2088">
      <w:pPr>
        <w:ind w:left="360"/>
        <w:jc w:val="both"/>
        <w:rPr>
          <w:i/>
          <w:lang w:val="en-GB"/>
        </w:rPr>
      </w:pPr>
    </w:p>
    <w:p w:rsidR="008A2088" w:rsidRPr="00343F54" w:rsidRDefault="008A2088" w:rsidP="003D4233">
      <w:pPr>
        <w:numPr>
          <w:ilvl w:val="0"/>
          <w:numId w:val="2"/>
        </w:numPr>
        <w:jc w:val="both"/>
        <w:rPr>
          <w:i/>
          <w:lang w:val="en-GB"/>
        </w:rPr>
      </w:pPr>
      <w:r>
        <w:t xml:space="preserve">She further states that the abduction was reported to the ICRC, </w:t>
      </w:r>
      <w:r w:rsidR="009A6AAD">
        <w:t>the Y</w:t>
      </w:r>
      <w:r>
        <w:t xml:space="preserve">ugoslav Red Cross, </w:t>
      </w:r>
      <w:proofErr w:type="gramStart"/>
      <w:r>
        <w:t>the</w:t>
      </w:r>
      <w:proofErr w:type="gramEnd"/>
      <w:r>
        <w:t xml:space="preserve"> International Criminal Tribunal for </w:t>
      </w:r>
      <w:r w:rsidR="00811380">
        <w:t>f</w:t>
      </w:r>
      <w:r>
        <w:t>ormer Yugoslavia (ICTY), KFOR, UNMIK</w:t>
      </w:r>
      <w:r w:rsidR="000E215B">
        <w:t>, OSCE</w:t>
      </w:r>
      <w:r>
        <w:t xml:space="preserve"> and the Serbian Ministry of Internal Affairs (MUP).</w:t>
      </w:r>
    </w:p>
    <w:p w:rsidR="00343F54" w:rsidRPr="00343F54" w:rsidRDefault="00343F54" w:rsidP="00343F54">
      <w:pPr>
        <w:ind w:left="360"/>
        <w:jc w:val="both"/>
        <w:rPr>
          <w:i/>
          <w:lang w:val="en-GB"/>
        </w:rPr>
      </w:pPr>
    </w:p>
    <w:p w:rsidR="00343F54" w:rsidRPr="00343F54" w:rsidRDefault="00343F54" w:rsidP="003D4233">
      <w:pPr>
        <w:numPr>
          <w:ilvl w:val="0"/>
          <w:numId w:val="2"/>
        </w:numPr>
        <w:jc w:val="both"/>
        <w:rPr>
          <w:i/>
          <w:lang w:val="en-GB"/>
        </w:rPr>
      </w:pPr>
      <w:r>
        <w:t>She provides copies of two certificates,</w:t>
      </w:r>
      <w:r w:rsidR="00476F81">
        <w:t xml:space="preserve"> </w:t>
      </w:r>
      <w:r>
        <w:t xml:space="preserve">one </w:t>
      </w:r>
      <w:r w:rsidR="00476F81">
        <w:t xml:space="preserve">issued by the Yugoslav Red Cross on 27 August 1999, ref. no. 0901-3446-54/98, and the other </w:t>
      </w:r>
      <w:r>
        <w:t xml:space="preserve">issued on 28 January 2000 by the </w:t>
      </w:r>
      <w:r w:rsidR="00811380">
        <w:t xml:space="preserve">Serbian </w:t>
      </w:r>
      <w:r>
        <w:t>MUP, ref. no. 04 br. 230-1/00</w:t>
      </w:r>
      <w:r w:rsidR="00476F81">
        <w:t>. Both certificates confirm the same information as above.</w:t>
      </w:r>
    </w:p>
    <w:p w:rsidR="00343F54" w:rsidRPr="00343F54" w:rsidRDefault="00343F54" w:rsidP="00343F54">
      <w:pPr>
        <w:ind w:left="360"/>
        <w:jc w:val="both"/>
        <w:rPr>
          <w:i/>
          <w:lang w:val="en-GB"/>
        </w:rPr>
      </w:pPr>
    </w:p>
    <w:p w:rsidR="00532491" w:rsidRPr="00532491" w:rsidRDefault="001A43F5" w:rsidP="003D4233">
      <w:pPr>
        <w:numPr>
          <w:ilvl w:val="0"/>
          <w:numId w:val="2"/>
        </w:numPr>
        <w:jc w:val="both"/>
        <w:rPr>
          <w:i/>
          <w:lang w:val="en-GB"/>
        </w:rPr>
      </w:pPr>
      <w:bookmarkStart w:id="15" w:name="_Ref390164937"/>
      <w:r w:rsidRPr="00343F54">
        <w:rPr>
          <w:lang w:val="en-GB"/>
        </w:rPr>
        <w:t>The ICRC tracing request</w:t>
      </w:r>
      <w:r w:rsidR="00B15AAB" w:rsidRPr="00343F54">
        <w:rPr>
          <w:lang w:val="en-GB"/>
        </w:rPr>
        <w:t xml:space="preserve"> for </w:t>
      </w:r>
      <w:r w:rsidRPr="00343F54">
        <w:rPr>
          <w:lang w:val="en-GB"/>
        </w:rPr>
        <w:t xml:space="preserve">Mr </w:t>
      </w:r>
      <w:r w:rsidR="00B15AAB">
        <w:t>Slobodan Mitrović was opened on</w:t>
      </w:r>
      <w:r w:rsidR="00343F54">
        <w:t xml:space="preserve"> 26 June 1998</w:t>
      </w:r>
      <w:r w:rsidR="00B15AAB">
        <w:t xml:space="preserve">, </w:t>
      </w:r>
      <w:r w:rsidR="00B15AAB" w:rsidRPr="00343F54">
        <w:rPr>
          <w:lang w:val="en-GB"/>
        </w:rPr>
        <w:t>it remains open</w:t>
      </w:r>
      <w:r w:rsidR="00B15AAB" w:rsidRPr="007321CA">
        <w:rPr>
          <w:vertAlign w:val="superscript"/>
          <w:lang w:val="en-GB"/>
        </w:rPr>
        <w:footnoteReference w:id="3"/>
      </w:r>
      <w:r w:rsidR="00532491">
        <w:rPr>
          <w:lang w:val="en-GB"/>
        </w:rPr>
        <w:t>. The field “Date of last contact/news” in the relevant entry in the ICRC database reads “01.07.1998”</w:t>
      </w:r>
      <w:r w:rsidR="00AE425E">
        <w:rPr>
          <w:lang w:val="en-GB"/>
        </w:rPr>
        <w:t>,</w:t>
      </w:r>
      <w:r w:rsidR="00532491">
        <w:rPr>
          <w:lang w:val="en-GB"/>
        </w:rPr>
        <w:t xml:space="preserve"> the field “Place of last contact/news” reads “</w:t>
      </w:r>
      <w:r w:rsidR="00532491" w:rsidRPr="00532491">
        <w:t>LAPUSNIK/LLAPUSHNIK</w:t>
      </w:r>
      <w:r w:rsidR="00532491">
        <w:t xml:space="preserve">”, and </w:t>
      </w:r>
      <w:r w:rsidR="00532491">
        <w:rPr>
          <w:lang w:val="en-GB"/>
        </w:rPr>
        <w:t>the field “District of last contact/news” reads “</w:t>
      </w:r>
      <w:r w:rsidR="00532491">
        <w:t>GLOGOVAC/GLLOGOVC”.</w:t>
      </w:r>
      <w:bookmarkEnd w:id="15"/>
    </w:p>
    <w:p w:rsidR="00532491" w:rsidRDefault="00532491" w:rsidP="00532491">
      <w:pPr>
        <w:pStyle w:val="ListParagraph"/>
        <w:rPr>
          <w:lang w:val="en-GB"/>
        </w:rPr>
      </w:pPr>
    </w:p>
    <w:p w:rsidR="001A43F5" w:rsidRPr="00AC10C8" w:rsidRDefault="00532491" w:rsidP="003D4233">
      <w:pPr>
        <w:numPr>
          <w:ilvl w:val="0"/>
          <w:numId w:val="2"/>
        </w:numPr>
        <w:jc w:val="both"/>
        <w:rPr>
          <w:i/>
          <w:lang w:val="en-GB"/>
        </w:rPr>
      </w:pPr>
      <w:bookmarkStart w:id="16" w:name="_Ref392170744"/>
      <w:r w:rsidRPr="00AC10C8">
        <w:rPr>
          <w:lang w:val="en-GB"/>
        </w:rPr>
        <w:t xml:space="preserve">The </w:t>
      </w:r>
      <w:r w:rsidR="00B15AAB" w:rsidRPr="00AC10C8">
        <w:rPr>
          <w:lang w:val="en-GB"/>
        </w:rPr>
        <w:t xml:space="preserve">name </w:t>
      </w:r>
      <w:r w:rsidRPr="00AC10C8">
        <w:rPr>
          <w:lang w:val="en-GB"/>
        </w:rPr>
        <w:t xml:space="preserve">of Mr </w:t>
      </w:r>
      <w:r>
        <w:t xml:space="preserve">Slobodan Mitrović </w:t>
      </w:r>
      <w:r w:rsidR="00B15AAB" w:rsidRPr="00AC10C8">
        <w:rPr>
          <w:lang w:val="en-GB"/>
        </w:rPr>
        <w:t>is also in t</w:t>
      </w:r>
      <w:r w:rsidR="00B15AAB" w:rsidRPr="00AC10C8">
        <w:rPr>
          <w:bCs/>
          <w:lang w:val="en-GB"/>
        </w:rPr>
        <w:t>he list of missing persons</w:t>
      </w:r>
      <w:r w:rsidRPr="00AC10C8">
        <w:rPr>
          <w:bCs/>
          <w:lang w:val="en-GB"/>
        </w:rPr>
        <w:t xml:space="preserve">, which </w:t>
      </w:r>
      <w:r w:rsidR="00B15AAB" w:rsidRPr="00AC10C8">
        <w:rPr>
          <w:bCs/>
          <w:lang w:val="en-GB"/>
        </w:rPr>
        <w:t xml:space="preserve">was forwarded by the ICRC to UNMIK on 12 October 2001, for whom the ICRC had collected ante-mortem data in Serbia proper, between 1 July and 20 September 2001, </w:t>
      </w:r>
      <w:r w:rsidR="00B15AAB" w:rsidRPr="00AC10C8">
        <w:rPr>
          <w:lang w:val="en-GB"/>
        </w:rPr>
        <w:t>as well as in the database compiled by the UNMIK OMPF</w:t>
      </w:r>
      <w:r w:rsidR="00B15AAB" w:rsidRPr="007321CA">
        <w:rPr>
          <w:rStyle w:val="FootnoteReference"/>
          <w:bCs/>
          <w:lang w:val="en-GB"/>
        </w:rPr>
        <w:footnoteReference w:id="4"/>
      </w:r>
      <w:r w:rsidR="00B15AAB" w:rsidRPr="00AC10C8">
        <w:rPr>
          <w:lang w:val="en-GB"/>
        </w:rPr>
        <w:t>.</w:t>
      </w:r>
      <w:r w:rsidR="00AC10C8" w:rsidRPr="00AC10C8">
        <w:rPr>
          <w:lang w:val="en-GB"/>
        </w:rPr>
        <w:t xml:space="preserve"> </w:t>
      </w:r>
      <w:r w:rsidR="00B15AAB" w:rsidRPr="00AC10C8">
        <w:rPr>
          <w:bCs/>
          <w:lang w:val="en-GB"/>
        </w:rPr>
        <w:t xml:space="preserve">The entry in relation to </w:t>
      </w:r>
      <w:r w:rsidR="00AC10C8">
        <w:rPr>
          <w:bCs/>
          <w:lang w:val="en-GB"/>
        </w:rPr>
        <w:t>him</w:t>
      </w:r>
      <w:r w:rsidR="00B15AAB">
        <w:t xml:space="preserve"> </w:t>
      </w:r>
      <w:r w:rsidR="00B15AAB" w:rsidRPr="00AC10C8">
        <w:rPr>
          <w:bCs/>
          <w:lang w:val="en-GB"/>
        </w:rPr>
        <w:t xml:space="preserve">in the </w:t>
      </w:r>
      <w:r w:rsidR="00B15AAB" w:rsidRPr="00AC10C8">
        <w:rPr>
          <w:lang w:val="en-GB"/>
        </w:rPr>
        <w:t>online database maintained by the ICMP</w:t>
      </w:r>
      <w:r w:rsidR="00B15AAB" w:rsidRPr="00D8407D">
        <w:rPr>
          <w:vertAlign w:val="superscript"/>
          <w:lang w:val="en-GB"/>
        </w:rPr>
        <w:footnoteReference w:id="5"/>
      </w:r>
      <w:r w:rsidR="00B15AAB" w:rsidRPr="00AC10C8">
        <w:rPr>
          <w:lang w:val="en-GB"/>
        </w:rPr>
        <w:t xml:space="preserve"> reads in relevant fields: “Sufficient Reference Samples Collected” and “DNA match not found”.</w:t>
      </w:r>
      <w:bookmarkEnd w:id="16"/>
    </w:p>
    <w:p w:rsidR="00B15AAB" w:rsidRPr="00B15AAB" w:rsidRDefault="00B15AAB" w:rsidP="00B15AAB">
      <w:pPr>
        <w:ind w:left="360"/>
        <w:jc w:val="both"/>
        <w:rPr>
          <w:i/>
          <w:lang w:val="en-GB"/>
        </w:rPr>
      </w:pPr>
    </w:p>
    <w:p w:rsidR="00BB260B"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 xml:space="preserve">Mr </w:t>
      </w:r>
      <w:r w:rsidR="00BB260B" w:rsidRPr="00641D5D">
        <w:rPr>
          <w:i/>
          <w:lang w:val="en-GB"/>
        </w:rPr>
        <w:t>Milovan</w:t>
      </w:r>
      <w:r w:rsidR="00BB260B" w:rsidRPr="00BB260B">
        <w:rPr>
          <w:i/>
        </w:rPr>
        <w:t xml:space="preserve"> </w:t>
      </w:r>
      <w:r w:rsidR="00BB260B" w:rsidRPr="00BB260B">
        <w:rPr>
          <w:bCs/>
          <w:i/>
        </w:rPr>
        <w:t>Krstić</w:t>
      </w:r>
      <w:r w:rsidR="00BB260B" w:rsidRPr="00BB260B">
        <w:rPr>
          <w:i/>
        </w:rPr>
        <w:t xml:space="preserve"> </w:t>
      </w:r>
      <w:r w:rsidR="00BB260B">
        <w:rPr>
          <w:i/>
        </w:rPr>
        <w:t>(</w:t>
      </w:r>
      <w:r w:rsidR="00BB260B" w:rsidRPr="00213940">
        <w:rPr>
          <w:i/>
          <w:lang w:val="en-GB"/>
        </w:rPr>
        <w:t>case</w:t>
      </w:r>
      <w:r w:rsidR="000E215B">
        <w:rPr>
          <w:i/>
          <w:lang w:val="en-GB"/>
        </w:rPr>
        <w:t>s</w:t>
      </w:r>
      <w:r w:rsidR="00BB260B">
        <w:rPr>
          <w:i/>
          <w:lang w:val="en-GB"/>
        </w:rPr>
        <w:t xml:space="preserve"> no</w:t>
      </w:r>
      <w:r w:rsidR="000E215B">
        <w:rPr>
          <w:i/>
          <w:lang w:val="en-GB"/>
        </w:rPr>
        <w:t>s</w:t>
      </w:r>
      <w:r w:rsidR="00BB260B">
        <w:rPr>
          <w:i/>
          <w:lang w:val="en-GB"/>
        </w:rPr>
        <w:t xml:space="preserve"> 158</w:t>
      </w:r>
      <w:r w:rsidR="00BB260B" w:rsidRPr="00213940">
        <w:rPr>
          <w:i/>
          <w:lang w:val="en-GB"/>
        </w:rPr>
        <w:t>/09</w:t>
      </w:r>
      <w:r w:rsidR="00BB260B">
        <w:rPr>
          <w:i/>
          <w:lang w:val="en-GB"/>
        </w:rPr>
        <w:t xml:space="preserve"> and 209/09)</w:t>
      </w:r>
    </w:p>
    <w:p w:rsidR="001A43F5" w:rsidRDefault="001A43F5" w:rsidP="00BB260B">
      <w:pPr>
        <w:jc w:val="both"/>
        <w:rPr>
          <w:lang w:val="en-GB"/>
        </w:rPr>
      </w:pPr>
    </w:p>
    <w:p w:rsidR="000E215B" w:rsidRDefault="00532491" w:rsidP="003D4233">
      <w:pPr>
        <w:numPr>
          <w:ilvl w:val="0"/>
          <w:numId w:val="6"/>
        </w:numPr>
        <w:jc w:val="both"/>
      </w:pPr>
      <w:r>
        <w:t>Mrs</w:t>
      </w:r>
      <w:r w:rsidRPr="00B404E9">
        <w:rPr>
          <w:bCs/>
        </w:rPr>
        <w:t xml:space="preserve"> Danijela Krsti</w:t>
      </w:r>
      <w:r>
        <w:t xml:space="preserve">ć states that her husband, </w:t>
      </w:r>
      <w:r w:rsidR="001A43F5">
        <w:t xml:space="preserve">Mr Milovan </w:t>
      </w:r>
      <w:r w:rsidR="001A43F5">
        <w:rPr>
          <w:bCs/>
        </w:rPr>
        <w:t>Krstić</w:t>
      </w:r>
      <w:r w:rsidR="0034197F">
        <w:rPr>
          <w:bCs/>
        </w:rPr>
        <w:t>,</w:t>
      </w:r>
      <w:r w:rsidR="001A43F5">
        <w:t xml:space="preserve"> </w:t>
      </w:r>
      <w:r w:rsidR="0034197F">
        <w:t xml:space="preserve">disappeared </w:t>
      </w:r>
      <w:r w:rsidR="0034197F" w:rsidRPr="00343F54">
        <w:t>on 24 June 199</w:t>
      </w:r>
      <w:r w:rsidR="0034197F">
        <w:t>8,</w:t>
      </w:r>
      <w:r w:rsidR="0034197F" w:rsidRPr="0034197F">
        <w:t xml:space="preserve"> </w:t>
      </w:r>
      <w:r w:rsidR="0034197F">
        <w:t>somewhere near the village of Carralevë/Crnoljevo, municipality of Shtime/Štimlje.</w:t>
      </w:r>
      <w:r w:rsidR="008A2088">
        <w:t xml:space="preserve"> </w:t>
      </w:r>
      <w:r w:rsidR="0048409F" w:rsidRPr="005B13A5">
        <w:t>Since that time, his whereabouts have remained unknown</w:t>
      </w:r>
      <w:r w:rsidR="0048409F">
        <w:t xml:space="preserve">. </w:t>
      </w:r>
      <w:r w:rsidR="000E215B">
        <w:t xml:space="preserve">This complainant gave no </w:t>
      </w:r>
      <w:r w:rsidR="00811380">
        <w:t>details</w:t>
      </w:r>
      <w:r w:rsidR="000E215B">
        <w:t xml:space="preserve"> as to the reporting of the event.</w:t>
      </w:r>
    </w:p>
    <w:p w:rsidR="000E215B" w:rsidRPr="000E215B" w:rsidRDefault="000E215B" w:rsidP="000E215B">
      <w:pPr>
        <w:ind w:left="360"/>
        <w:jc w:val="both"/>
        <w:rPr>
          <w:i/>
          <w:lang w:val="en-GB"/>
        </w:rPr>
      </w:pPr>
    </w:p>
    <w:p w:rsidR="0034197F" w:rsidRPr="000E215B" w:rsidRDefault="008A2088" w:rsidP="003D4233">
      <w:pPr>
        <w:numPr>
          <w:ilvl w:val="0"/>
          <w:numId w:val="2"/>
        </w:numPr>
        <w:jc w:val="both"/>
        <w:rPr>
          <w:i/>
          <w:lang w:val="en-GB"/>
        </w:rPr>
      </w:pPr>
      <w:r>
        <w:t xml:space="preserve">Mrs Slobodanka Krstić, in her </w:t>
      </w:r>
      <w:r w:rsidR="000E215B">
        <w:t>complaint</w:t>
      </w:r>
      <w:r>
        <w:t xml:space="preserve"> in relation </w:t>
      </w:r>
      <w:r w:rsidR="000E215B">
        <w:t>to</w:t>
      </w:r>
      <w:r w:rsidR="007F6C64">
        <w:t xml:space="preserve"> her son, </w:t>
      </w:r>
      <w:r w:rsidR="000E215B">
        <w:t xml:space="preserve"> Mr Milovan </w:t>
      </w:r>
      <w:r w:rsidR="000E215B">
        <w:rPr>
          <w:bCs/>
        </w:rPr>
        <w:t>Krstić</w:t>
      </w:r>
      <w:r>
        <w:t xml:space="preserve">, provides the same account of his abduction as </w:t>
      </w:r>
      <w:r w:rsidR="00811380">
        <w:t>that given b</w:t>
      </w:r>
      <w:r w:rsidR="000E215B">
        <w:t xml:space="preserve">y </w:t>
      </w:r>
      <w:r>
        <w:t xml:space="preserve">Mrs Ljiljana </w:t>
      </w:r>
      <w:r w:rsidRPr="000E215B">
        <w:rPr>
          <w:lang w:val="en-GB"/>
        </w:rPr>
        <w:t>Mitrović</w:t>
      </w:r>
      <w:r>
        <w:t xml:space="preserve"> (see § </w:t>
      </w:r>
      <w:r w:rsidR="009F41BA">
        <w:fldChar w:fldCharType="begin"/>
      </w:r>
      <w:r>
        <w:instrText xml:space="preserve"> REF _Ref390163967 \r \h </w:instrText>
      </w:r>
      <w:r w:rsidR="009F41BA">
        <w:fldChar w:fldCharType="separate"/>
      </w:r>
      <w:r w:rsidR="009C2A5A">
        <w:t>40</w:t>
      </w:r>
      <w:r w:rsidR="009F41BA">
        <w:fldChar w:fldCharType="end"/>
      </w:r>
      <w:r>
        <w:t xml:space="preserve"> above).</w:t>
      </w:r>
      <w:r w:rsidR="000E215B">
        <w:t xml:space="preserve"> She clarifies that the abduction was reported to the ICRC, </w:t>
      </w:r>
      <w:r w:rsidR="009A6AAD">
        <w:t xml:space="preserve">the </w:t>
      </w:r>
      <w:r w:rsidR="000E215B">
        <w:t>Yugoslav Red Cross, the ICTY, KFOR, UNMIK and the Serbian MUP.</w:t>
      </w:r>
    </w:p>
    <w:p w:rsidR="0034197F" w:rsidRPr="0034197F" w:rsidRDefault="0034197F" w:rsidP="0034197F">
      <w:pPr>
        <w:ind w:left="360"/>
        <w:jc w:val="both"/>
        <w:rPr>
          <w:i/>
          <w:lang w:val="en-GB"/>
        </w:rPr>
      </w:pPr>
    </w:p>
    <w:p w:rsidR="0034197F" w:rsidRPr="0034197F" w:rsidRDefault="0034197F" w:rsidP="003D4233">
      <w:pPr>
        <w:numPr>
          <w:ilvl w:val="0"/>
          <w:numId w:val="2"/>
        </w:numPr>
        <w:jc w:val="both"/>
        <w:rPr>
          <w:i/>
          <w:lang w:val="en-GB"/>
        </w:rPr>
      </w:pPr>
      <w:r>
        <w:t xml:space="preserve">According to the certificate issued by the Yugoslav Red Cross on 26 November 1999, ref. no. 0901-3446-55/99, Mr Milovan Krstić was abducted </w:t>
      </w:r>
      <w:r w:rsidRPr="00343F54">
        <w:t>by arm</w:t>
      </w:r>
      <w:r>
        <w:t xml:space="preserve">ed KLA members, on 24 June 1998, </w:t>
      </w:r>
      <w:r w:rsidR="00EC7F92">
        <w:t xml:space="preserve">“on the road </w:t>
      </w:r>
      <w:r>
        <w:t xml:space="preserve">Kruševac </w:t>
      </w:r>
      <w:r w:rsidR="00EC7F92">
        <w:t xml:space="preserve">- </w:t>
      </w:r>
      <w:r>
        <w:t>Suva Reka</w:t>
      </w:r>
      <w:r w:rsidR="00EC7F92">
        <w:t>”</w:t>
      </w:r>
      <w:r>
        <w:t>.</w:t>
      </w:r>
    </w:p>
    <w:p w:rsidR="0034197F" w:rsidRPr="00343F54" w:rsidRDefault="0034197F" w:rsidP="0034197F">
      <w:pPr>
        <w:ind w:left="360"/>
        <w:jc w:val="both"/>
        <w:rPr>
          <w:i/>
          <w:lang w:val="en-GB"/>
        </w:rPr>
      </w:pPr>
    </w:p>
    <w:p w:rsidR="0034197F" w:rsidRPr="00532491" w:rsidRDefault="0034197F" w:rsidP="003D4233">
      <w:pPr>
        <w:numPr>
          <w:ilvl w:val="0"/>
          <w:numId w:val="2"/>
        </w:numPr>
        <w:jc w:val="both"/>
        <w:rPr>
          <w:i/>
          <w:lang w:val="en-GB"/>
        </w:rPr>
      </w:pPr>
      <w:r w:rsidRPr="00343F54">
        <w:rPr>
          <w:lang w:val="en-GB"/>
        </w:rPr>
        <w:lastRenderedPageBreak/>
        <w:t xml:space="preserve">The ICRC tracing request for Mr </w:t>
      </w:r>
      <w:r w:rsidR="00163F21">
        <w:t xml:space="preserve">Milovan Krstić </w:t>
      </w:r>
      <w:r>
        <w:t>was opened on 26 June 1998</w:t>
      </w:r>
      <w:r w:rsidR="00980D7C">
        <w:t xml:space="preserve"> and</w:t>
      </w:r>
      <w:r>
        <w:t xml:space="preserve"> </w:t>
      </w:r>
      <w:r w:rsidRPr="00343F54">
        <w:rPr>
          <w:lang w:val="en-GB"/>
        </w:rPr>
        <w:t>it remains open</w:t>
      </w:r>
      <w:r w:rsidRPr="007321CA">
        <w:rPr>
          <w:vertAlign w:val="superscript"/>
          <w:lang w:val="en-GB"/>
        </w:rPr>
        <w:footnoteReference w:id="6"/>
      </w:r>
      <w:r>
        <w:rPr>
          <w:lang w:val="en-GB"/>
        </w:rPr>
        <w:t xml:space="preserve">. </w:t>
      </w:r>
      <w:r w:rsidR="00980D7C">
        <w:rPr>
          <w:lang w:val="en-GB"/>
        </w:rPr>
        <w:t xml:space="preserve">The relevant entry in the ICRC database contains </w:t>
      </w:r>
      <w:r w:rsidR="00811380">
        <w:rPr>
          <w:lang w:val="en-GB"/>
        </w:rPr>
        <w:t>the same additional information</w:t>
      </w:r>
      <w:r w:rsidR="00980D7C">
        <w:rPr>
          <w:lang w:val="en-GB"/>
        </w:rPr>
        <w:t xml:space="preserve">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34197F" w:rsidRDefault="0034197F" w:rsidP="0034197F">
      <w:pPr>
        <w:pStyle w:val="ListParagraph"/>
        <w:rPr>
          <w:lang w:val="en-GB"/>
        </w:rPr>
      </w:pPr>
    </w:p>
    <w:p w:rsidR="0034197F" w:rsidRDefault="0034197F" w:rsidP="003D4233">
      <w:pPr>
        <w:numPr>
          <w:ilvl w:val="0"/>
          <w:numId w:val="2"/>
        </w:numPr>
        <w:jc w:val="both"/>
      </w:pPr>
      <w:r w:rsidRPr="008A2088">
        <w:rPr>
          <w:lang w:val="en-GB"/>
        </w:rPr>
        <w:t xml:space="preserve">The name of Mr </w:t>
      </w:r>
      <w:r w:rsidR="00163F21">
        <w:t xml:space="preserve">Milovan Krstić </w:t>
      </w:r>
      <w:r w:rsidRPr="008A2088">
        <w:rPr>
          <w:lang w:val="en-GB"/>
        </w:rPr>
        <w:t>is also in t</w:t>
      </w:r>
      <w:r w:rsidRPr="008A2088">
        <w:rPr>
          <w:bCs/>
          <w:lang w:val="en-GB"/>
        </w:rPr>
        <w:t xml:space="preserve">he list of missing persons, which was </w:t>
      </w:r>
      <w:r w:rsidR="00163F21" w:rsidRPr="008A2088">
        <w:rPr>
          <w:bCs/>
          <w:lang w:val="en-GB"/>
        </w:rPr>
        <w:t>sent b</w:t>
      </w:r>
      <w:r w:rsidRPr="008A2088">
        <w:rPr>
          <w:bCs/>
          <w:lang w:val="en-GB"/>
        </w:rPr>
        <w:t>y the ICRC to UNMIK on 1</w:t>
      </w:r>
      <w:r w:rsidR="00163F21" w:rsidRPr="008A2088">
        <w:rPr>
          <w:bCs/>
          <w:lang w:val="en-GB"/>
        </w:rPr>
        <w:t>0</w:t>
      </w:r>
      <w:r w:rsidRPr="008A2088">
        <w:rPr>
          <w:bCs/>
          <w:lang w:val="en-GB"/>
        </w:rPr>
        <w:t xml:space="preserve"> </w:t>
      </w:r>
      <w:r w:rsidR="00163F21" w:rsidRPr="008A2088">
        <w:rPr>
          <w:bCs/>
          <w:lang w:val="en-GB"/>
        </w:rPr>
        <w:t xml:space="preserve">September </w:t>
      </w:r>
      <w:r w:rsidRPr="008A2088">
        <w:rPr>
          <w:bCs/>
          <w:lang w:val="en-GB"/>
        </w:rPr>
        <w:t xml:space="preserve">2001, </w:t>
      </w:r>
      <w:r w:rsidRPr="008A2088">
        <w:rPr>
          <w:lang w:val="en-GB"/>
        </w:rPr>
        <w:t>as well as in the database compiled by the UNMIK OMPF</w:t>
      </w:r>
      <w:r w:rsidRPr="007321CA">
        <w:rPr>
          <w:rStyle w:val="FootnoteReference"/>
          <w:bCs/>
          <w:lang w:val="en-GB"/>
        </w:rPr>
        <w:footnoteReference w:id="7"/>
      </w:r>
      <w:r w:rsidRPr="008A2088">
        <w:rPr>
          <w:lang w:val="en-GB"/>
        </w:rPr>
        <w:t>.</w:t>
      </w:r>
      <w:r w:rsidR="00163F21" w:rsidRPr="008A2088">
        <w:rPr>
          <w:lang w:val="en-GB"/>
        </w:rPr>
        <w:t xml:space="preserve"> </w:t>
      </w:r>
      <w:r w:rsidRPr="008A2088">
        <w:rPr>
          <w:bCs/>
          <w:lang w:val="en-GB"/>
        </w:rPr>
        <w:t xml:space="preserve">The entry in </w:t>
      </w:r>
      <w:r w:rsidR="00811380">
        <w:rPr>
          <w:bCs/>
          <w:lang w:val="en-GB"/>
        </w:rPr>
        <w:t>t</w:t>
      </w:r>
      <w:r w:rsidR="008A2088" w:rsidRPr="008A2088">
        <w:rPr>
          <w:bCs/>
          <w:lang w:val="en-GB"/>
        </w:rPr>
        <w:t xml:space="preserve">his </w:t>
      </w:r>
      <w:r w:rsidRPr="008A2088">
        <w:rPr>
          <w:bCs/>
          <w:lang w:val="en-GB"/>
        </w:rPr>
        <w:t>re</w:t>
      </w:r>
      <w:r w:rsidR="00811380">
        <w:rPr>
          <w:bCs/>
          <w:lang w:val="en-GB"/>
        </w:rPr>
        <w:t>gard</w:t>
      </w:r>
      <w:r w:rsidRPr="008A2088">
        <w:rPr>
          <w:bCs/>
          <w:lang w:val="en-GB"/>
        </w:rPr>
        <w:t xml:space="preserve"> in the </w:t>
      </w:r>
      <w:r w:rsidRPr="008A2088">
        <w:rPr>
          <w:lang w:val="en-GB"/>
        </w:rPr>
        <w:t>online database maintained by the ICMP</w:t>
      </w:r>
      <w:r w:rsidRPr="00D8407D">
        <w:rPr>
          <w:vertAlign w:val="superscript"/>
          <w:lang w:val="en-GB"/>
        </w:rPr>
        <w:footnoteReference w:id="8"/>
      </w:r>
      <w:r w:rsidRPr="008A2088">
        <w:rPr>
          <w:lang w:val="en-GB"/>
        </w:rPr>
        <w:t xml:space="preserve"> reads in relevant fields: “Sufficient Reference Samples Collected” and “DNA match not found”.</w:t>
      </w:r>
    </w:p>
    <w:p w:rsidR="00343F54" w:rsidRDefault="00343F54" w:rsidP="00BB260B">
      <w:pPr>
        <w:jc w:val="both"/>
        <w:rPr>
          <w:i/>
          <w:lang w:val="en-GB"/>
        </w:rPr>
      </w:pPr>
    </w:p>
    <w:p w:rsidR="00BB260B" w:rsidRPr="00641D5D" w:rsidRDefault="00AE425E" w:rsidP="00F0555D">
      <w:pPr>
        <w:pStyle w:val="ListParagraph"/>
        <w:numPr>
          <w:ilvl w:val="1"/>
          <w:numId w:val="1"/>
        </w:numPr>
        <w:tabs>
          <w:tab w:val="clear" w:pos="360"/>
          <w:tab w:val="num" w:pos="270"/>
        </w:tabs>
        <w:ind w:left="270" w:hanging="270"/>
        <w:jc w:val="both"/>
        <w:rPr>
          <w:i/>
          <w:lang w:val="en-GB"/>
        </w:rPr>
      </w:pPr>
      <w:r w:rsidRPr="00641D5D">
        <w:rPr>
          <w:i/>
          <w:lang w:val="en-GB"/>
        </w:rPr>
        <w:t>Abduction</w:t>
      </w:r>
      <w:r w:rsidR="00BB260B" w:rsidRPr="00641D5D">
        <w:rPr>
          <w:bCs/>
          <w:i/>
          <w:lang w:val="en-GB"/>
        </w:rPr>
        <w:t xml:space="preserve"> of </w:t>
      </w:r>
      <w:r w:rsidR="00BB260B" w:rsidRPr="00641D5D">
        <w:rPr>
          <w:i/>
        </w:rPr>
        <w:t xml:space="preserve">Mr Miodrag </w:t>
      </w:r>
      <w:r w:rsidR="00BB260B" w:rsidRPr="00641D5D">
        <w:rPr>
          <w:bCs/>
          <w:i/>
        </w:rPr>
        <w:t>Krstić</w:t>
      </w:r>
      <w:r w:rsidR="00BB260B" w:rsidRPr="00641D5D">
        <w:rPr>
          <w:i/>
        </w:rPr>
        <w:t xml:space="preserve"> (</w:t>
      </w:r>
      <w:r w:rsidR="00BB260B" w:rsidRPr="00641D5D">
        <w:rPr>
          <w:i/>
          <w:lang w:val="en-GB"/>
        </w:rPr>
        <w:t>case no. 210/09)</w:t>
      </w:r>
    </w:p>
    <w:p w:rsidR="00BB260B" w:rsidRDefault="00BB260B" w:rsidP="00B404E9">
      <w:pPr>
        <w:ind w:left="360"/>
        <w:jc w:val="both"/>
      </w:pPr>
    </w:p>
    <w:p w:rsidR="00B404E9" w:rsidRDefault="008A2088" w:rsidP="003D4233">
      <w:pPr>
        <w:numPr>
          <w:ilvl w:val="0"/>
          <w:numId w:val="6"/>
        </w:numPr>
        <w:jc w:val="both"/>
      </w:pPr>
      <w:r>
        <w:t xml:space="preserve">Mrs </w:t>
      </w:r>
      <w:r w:rsidRPr="000E215B">
        <w:rPr>
          <w:bCs/>
        </w:rPr>
        <w:t>Slobodanka Krsti</w:t>
      </w:r>
      <w:r>
        <w:t>ć,</w:t>
      </w:r>
      <w:r w:rsidR="000E215B">
        <w:t xml:space="preserve"> in her complaint in relation to </w:t>
      </w:r>
      <w:r>
        <w:t>her</w:t>
      </w:r>
      <w:r w:rsidR="000E215B">
        <w:t xml:space="preserve"> son </w:t>
      </w:r>
      <w:r>
        <w:t xml:space="preserve">Mr Miodrag Krstić, </w:t>
      </w:r>
      <w:r w:rsidR="000E215B">
        <w:t xml:space="preserve">provides the same account of his abduction as </w:t>
      </w:r>
      <w:r w:rsidR="00811380">
        <w:t>given</w:t>
      </w:r>
      <w:r w:rsidR="000E215B">
        <w:t xml:space="preserve"> by Mrs Ljiljana </w:t>
      </w:r>
      <w:r w:rsidR="000E215B" w:rsidRPr="000E215B">
        <w:rPr>
          <w:lang w:val="en-GB"/>
        </w:rPr>
        <w:t>Mitrović</w:t>
      </w:r>
      <w:r w:rsidR="000E215B">
        <w:t xml:space="preserve"> (see § </w:t>
      </w:r>
      <w:r w:rsidR="009F41BA">
        <w:fldChar w:fldCharType="begin"/>
      </w:r>
      <w:r w:rsidR="000E215B">
        <w:instrText xml:space="preserve"> REF _Ref390163967 \r \h </w:instrText>
      </w:r>
      <w:r w:rsidR="009F41BA">
        <w:fldChar w:fldCharType="separate"/>
      </w:r>
      <w:r w:rsidR="009C2A5A">
        <w:t>40</w:t>
      </w:r>
      <w:r w:rsidR="009F41BA">
        <w:fldChar w:fldCharType="end"/>
      </w:r>
      <w:r w:rsidR="000E215B">
        <w:t xml:space="preserve"> above). She likewise adds that the abduction was reported to the ICRC, </w:t>
      </w:r>
      <w:r w:rsidR="00811380">
        <w:t xml:space="preserve">the </w:t>
      </w:r>
      <w:r w:rsidR="000E215B">
        <w:t>Yugoslav Red Cross, the ICTY, KFOR, UNMIK and the Serbian MUP.</w:t>
      </w:r>
    </w:p>
    <w:p w:rsidR="000E215B" w:rsidRPr="00343F54" w:rsidRDefault="000E215B" w:rsidP="000E215B">
      <w:pPr>
        <w:ind w:left="360"/>
        <w:jc w:val="both"/>
        <w:rPr>
          <w:i/>
          <w:lang w:val="en-GB"/>
        </w:rPr>
      </w:pPr>
    </w:p>
    <w:p w:rsidR="000E215B" w:rsidRPr="00532491" w:rsidRDefault="000E215B" w:rsidP="003D4233">
      <w:pPr>
        <w:numPr>
          <w:ilvl w:val="0"/>
          <w:numId w:val="2"/>
        </w:numPr>
        <w:jc w:val="both"/>
        <w:rPr>
          <w:i/>
          <w:lang w:val="en-GB"/>
        </w:rPr>
      </w:pPr>
      <w:r w:rsidRPr="00343F54">
        <w:rPr>
          <w:lang w:val="en-GB"/>
        </w:rPr>
        <w:t xml:space="preserve">The ICRC tracing request for Mr </w:t>
      </w:r>
      <w:r w:rsidR="0048409F">
        <w:t>Mi</w:t>
      </w:r>
      <w:r>
        <w:t>o</w:t>
      </w:r>
      <w:r w:rsidR="0048409F">
        <w:t xml:space="preserve">drag </w:t>
      </w:r>
      <w:r>
        <w:t>Krstić</w:t>
      </w:r>
      <w:r w:rsidR="00980D7C">
        <w:t xml:space="preserve"> </w:t>
      </w:r>
      <w:r w:rsidRPr="00343F54">
        <w:rPr>
          <w:lang w:val="en-GB"/>
        </w:rPr>
        <w:t>remains open</w:t>
      </w:r>
      <w:r w:rsidRPr="007321CA">
        <w:rPr>
          <w:vertAlign w:val="superscript"/>
          <w:lang w:val="en-GB"/>
        </w:rPr>
        <w:footnoteReference w:id="9"/>
      </w:r>
      <w:r w:rsidR="00980D7C">
        <w:rPr>
          <w:lang w:val="en-GB"/>
        </w:rPr>
        <w:t>. The relevant entry in the ICRC database contains the same additional information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0E215B" w:rsidRDefault="000E215B" w:rsidP="000E215B">
      <w:pPr>
        <w:pStyle w:val="ListParagraph"/>
        <w:rPr>
          <w:lang w:val="en-GB"/>
        </w:rPr>
      </w:pPr>
    </w:p>
    <w:p w:rsidR="000E215B" w:rsidRDefault="000E215B" w:rsidP="003D4233">
      <w:pPr>
        <w:numPr>
          <w:ilvl w:val="0"/>
          <w:numId w:val="2"/>
        </w:numPr>
        <w:jc w:val="both"/>
      </w:pPr>
      <w:r w:rsidRPr="008A2088">
        <w:rPr>
          <w:lang w:val="en-GB"/>
        </w:rPr>
        <w:t xml:space="preserve">The name of Mr </w:t>
      </w:r>
      <w:r w:rsidR="0048409F">
        <w:t xml:space="preserve">Miodrag </w:t>
      </w:r>
      <w:r>
        <w:t xml:space="preserve">Krstić </w:t>
      </w:r>
      <w:r w:rsidRPr="008A2088">
        <w:rPr>
          <w:lang w:val="en-GB"/>
        </w:rPr>
        <w:t>is also in t</w:t>
      </w:r>
      <w:r w:rsidRPr="008A2088">
        <w:rPr>
          <w:bCs/>
          <w:lang w:val="en-GB"/>
        </w:rPr>
        <w:t xml:space="preserve">he list of missing persons, which was sent by the ICRC to UNMIK on 10 September 2001, </w:t>
      </w:r>
      <w:r w:rsidRPr="008A2088">
        <w:rPr>
          <w:lang w:val="en-GB"/>
        </w:rPr>
        <w:t>as well as in the database compiled by the UNMIK OMPF</w:t>
      </w:r>
      <w:r w:rsidRPr="007321CA">
        <w:rPr>
          <w:rStyle w:val="FootnoteReference"/>
          <w:bCs/>
          <w:lang w:val="en-GB"/>
        </w:rPr>
        <w:footnoteReference w:id="10"/>
      </w:r>
      <w:r w:rsidRPr="008A2088">
        <w:rPr>
          <w:lang w:val="en-GB"/>
        </w:rPr>
        <w:t xml:space="preserve">. </w:t>
      </w:r>
      <w:r w:rsidRPr="008A2088">
        <w:rPr>
          <w:bCs/>
          <w:lang w:val="en-GB"/>
        </w:rPr>
        <w:t xml:space="preserve">The entry in </w:t>
      </w:r>
      <w:r w:rsidR="00811380">
        <w:rPr>
          <w:bCs/>
          <w:lang w:val="en-GB"/>
        </w:rPr>
        <w:t>this regard</w:t>
      </w:r>
      <w:r w:rsidRPr="008A2088">
        <w:rPr>
          <w:bCs/>
          <w:lang w:val="en-GB"/>
        </w:rPr>
        <w:t xml:space="preserve"> in the </w:t>
      </w:r>
      <w:r w:rsidRPr="008A2088">
        <w:rPr>
          <w:lang w:val="en-GB"/>
        </w:rPr>
        <w:t>online database maintained by the ICMP</w:t>
      </w:r>
      <w:r w:rsidRPr="00D8407D">
        <w:rPr>
          <w:vertAlign w:val="superscript"/>
          <w:lang w:val="en-GB"/>
        </w:rPr>
        <w:footnoteReference w:id="11"/>
      </w:r>
      <w:r w:rsidRPr="008A2088">
        <w:rPr>
          <w:lang w:val="en-GB"/>
        </w:rPr>
        <w:t xml:space="preserve"> reads in relevant fields: “Sufficient Reference Samples Collected” and “DNA match not found”.</w:t>
      </w:r>
    </w:p>
    <w:p w:rsidR="00343F54" w:rsidRDefault="00343F54" w:rsidP="001A43F5">
      <w:pPr>
        <w:jc w:val="both"/>
        <w:rPr>
          <w:lang w:val="en-GB"/>
        </w:rPr>
      </w:pPr>
    </w:p>
    <w:p w:rsidR="001A43F5"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001A43F5" w:rsidRPr="00BB260B">
        <w:rPr>
          <w:bCs/>
          <w:i/>
          <w:lang w:val="en-GB"/>
        </w:rPr>
        <w:t xml:space="preserve"> of </w:t>
      </w:r>
      <w:r w:rsidR="001A43F5" w:rsidRPr="00BB260B">
        <w:rPr>
          <w:i/>
        </w:rPr>
        <w:t xml:space="preserve">Mr </w:t>
      </w:r>
      <w:r w:rsidR="001A43F5" w:rsidRPr="00BB260B">
        <w:rPr>
          <w:i/>
          <w:caps/>
        </w:rPr>
        <w:t>ž</w:t>
      </w:r>
      <w:r w:rsidR="001A43F5" w:rsidRPr="00BB260B">
        <w:rPr>
          <w:i/>
        </w:rPr>
        <w:t>ivorad</w:t>
      </w:r>
      <w:r w:rsidR="001A43F5">
        <w:t xml:space="preserve"> </w:t>
      </w:r>
      <w:r w:rsidR="001A43F5" w:rsidRPr="00BB260B">
        <w:rPr>
          <w:bCs/>
          <w:i/>
        </w:rPr>
        <w:t>Krstić</w:t>
      </w:r>
      <w:r w:rsidR="001A43F5" w:rsidRPr="00BB260B">
        <w:rPr>
          <w:i/>
        </w:rPr>
        <w:t xml:space="preserve"> </w:t>
      </w:r>
      <w:r w:rsidR="001A43F5">
        <w:rPr>
          <w:i/>
        </w:rPr>
        <w:t>(</w:t>
      </w:r>
      <w:r w:rsidR="001A43F5" w:rsidRPr="00213940">
        <w:rPr>
          <w:i/>
          <w:lang w:val="en-GB"/>
        </w:rPr>
        <w:t>case</w:t>
      </w:r>
      <w:r w:rsidR="001A43F5">
        <w:rPr>
          <w:i/>
          <w:lang w:val="en-GB"/>
        </w:rPr>
        <w:t xml:space="preserve"> no. 258</w:t>
      </w:r>
      <w:r w:rsidR="001A43F5" w:rsidRPr="00213940">
        <w:rPr>
          <w:i/>
          <w:lang w:val="en-GB"/>
        </w:rPr>
        <w:t>/09</w:t>
      </w:r>
      <w:r w:rsidR="001A43F5">
        <w:rPr>
          <w:i/>
          <w:lang w:val="en-GB"/>
        </w:rPr>
        <w:t>)</w:t>
      </w:r>
    </w:p>
    <w:p w:rsidR="00B404E9" w:rsidRDefault="00B404E9" w:rsidP="00B404E9">
      <w:pPr>
        <w:ind w:left="360"/>
        <w:jc w:val="both"/>
      </w:pPr>
    </w:p>
    <w:p w:rsidR="00B404E9" w:rsidRDefault="0048409F" w:rsidP="003D4233">
      <w:pPr>
        <w:numPr>
          <w:ilvl w:val="0"/>
          <w:numId w:val="2"/>
        </w:numPr>
        <w:jc w:val="both"/>
      </w:pPr>
      <w:r w:rsidRPr="00B404E9">
        <w:t xml:space="preserve">Mrs </w:t>
      </w:r>
      <w:r w:rsidRPr="00B404E9">
        <w:rPr>
          <w:bCs/>
          <w:lang w:val="en-GB"/>
        </w:rPr>
        <w:t>Snežana Simonović</w:t>
      </w:r>
      <w:r w:rsidRPr="00B404E9">
        <w:t xml:space="preserve"> </w:t>
      </w:r>
      <w:r w:rsidR="00B404E9">
        <w:t xml:space="preserve">states that </w:t>
      </w:r>
      <w:r>
        <w:t xml:space="preserve">her father, </w:t>
      </w:r>
      <w:r w:rsidR="00B404E9">
        <w:t xml:space="preserve">Mr </w:t>
      </w:r>
      <w:r w:rsidRPr="0048409F">
        <w:rPr>
          <w:caps/>
        </w:rPr>
        <w:t>ž</w:t>
      </w:r>
      <w:r w:rsidRPr="0048409F">
        <w:t>ivorad</w:t>
      </w:r>
      <w:r>
        <w:t xml:space="preserve"> </w:t>
      </w:r>
      <w:r w:rsidR="00B404E9">
        <w:t>Krstić</w:t>
      </w:r>
      <w:r>
        <w:t>,</w:t>
      </w:r>
      <w:r w:rsidR="00B404E9">
        <w:t xml:space="preserve"> </w:t>
      </w:r>
      <w:r w:rsidR="00B404E9" w:rsidRPr="00BC043E">
        <w:t xml:space="preserve">was </w:t>
      </w:r>
      <w:r w:rsidR="00B404E9">
        <w:t>abducted</w:t>
      </w:r>
      <w:r w:rsidR="00B404E9" w:rsidRPr="00BC043E">
        <w:t xml:space="preserve"> </w:t>
      </w:r>
      <w:r w:rsidR="00D92FD6">
        <w:t xml:space="preserve">on 25 June 1998, </w:t>
      </w:r>
      <w:r w:rsidR="00B404E9">
        <w:t xml:space="preserve">by </w:t>
      </w:r>
      <w:r w:rsidR="00D92FD6">
        <w:t xml:space="preserve">armed </w:t>
      </w:r>
      <w:r>
        <w:t xml:space="preserve">KLA </w:t>
      </w:r>
      <w:r w:rsidR="00B404E9">
        <w:t>members</w:t>
      </w:r>
      <w:r w:rsidR="00D92FD6">
        <w:t xml:space="preserve">, from a regular bus en route </w:t>
      </w:r>
      <w:r w:rsidR="00402BB2">
        <w:t>from</w:t>
      </w:r>
      <w:r w:rsidR="00D92FD6">
        <w:t xml:space="preserve"> </w:t>
      </w:r>
      <w:r>
        <w:t xml:space="preserve">Prizren </w:t>
      </w:r>
      <w:r w:rsidR="00402BB2">
        <w:t xml:space="preserve">to </w:t>
      </w:r>
      <w:r>
        <w:t>Prishtin</w:t>
      </w:r>
      <w:r>
        <w:rPr>
          <w:lang w:val="ru-RU"/>
        </w:rPr>
        <w:t>ё/</w:t>
      </w:r>
      <w:r>
        <w:t>Priština</w:t>
      </w:r>
      <w:r w:rsidR="00D92FD6">
        <w:t>,</w:t>
      </w:r>
      <w:r>
        <w:rPr>
          <w:lang w:val="ru-RU"/>
        </w:rPr>
        <w:t xml:space="preserve"> </w:t>
      </w:r>
      <w:r>
        <w:t>near</w:t>
      </w:r>
      <w:r>
        <w:rPr>
          <w:lang w:val="ru-RU"/>
        </w:rPr>
        <w:t xml:space="preserve"> </w:t>
      </w:r>
      <w:r w:rsidR="00B404E9">
        <w:t xml:space="preserve">the </w:t>
      </w:r>
      <w:r w:rsidR="00D92FD6">
        <w:t xml:space="preserve">village </w:t>
      </w:r>
      <w:r w:rsidR="00B404E9" w:rsidRPr="00462BD9">
        <w:rPr>
          <w:lang w:val="es-ES_tradnl"/>
        </w:rPr>
        <w:t>Car</w:t>
      </w:r>
      <w:r w:rsidR="00B404E9">
        <w:rPr>
          <w:lang w:val="es-ES_tradnl"/>
        </w:rPr>
        <w:t>r</w:t>
      </w:r>
      <w:r w:rsidR="00B404E9" w:rsidRPr="00462BD9">
        <w:rPr>
          <w:lang w:val="es-ES_tradnl"/>
        </w:rPr>
        <w:t>a</w:t>
      </w:r>
      <w:r w:rsidR="00B404E9">
        <w:rPr>
          <w:lang w:val="es-ES_tradnl"/>
        </w:rPr>
        <w:t>l</w:t>
      </w:r>
      <w:r w:rsidR="00B404E9" w:rsidRPr="00462BD9">
        <w:rPr>
          <w:lang w:val="es-ES_tradnl"/>
        </w:rPr>
        <w:t>evë</w:t>
      </w:r>
      <w:r w:rsidR="00B404E9">
        <w:rPr>
          <w:lang w:val="es-ES_tradnl"/>
        </w:rPr>
        <w:t>/</w:t>
      </w:r>
      <w:r w:rsidR="00B404E9">
        <w:t>Crnoljevo</w:t>
      </w:r>
      <w:r w:rsidR="00811380">
        <w:t>,</w:t>
      </w:r>
      <w:r w:rsidR="00B404E9">
        <w:t xml:space="preserve"> Shtim</w:t>
      </w:r>
      <w:r w:rsidR="00B404E9">
        <w:rPr>
          <w:lang w:val="ru-RU"/>
        </w:rPr>
        <w:t>ё</w:t>
      </w:r>
      <w:r w:rsidR="00B404E9">
        <w:t>/</w:t>
      </w:r>
      <w:r w:rsidR="00B404E9" w:rsidRPr="00462BD9">
        <w:t>Š</w:t>
      </w:r>
      <w:r w:rsidR="00B404E9">
        <w:t>timlje municipality</w:t>
      </w:r>
      <w:r>
        <w:t xml:space="preserve">. </w:t>
      </w:r>
      <w:r w:rsidR="00B404E9" w:rsidRPr="005B13A5">
        <w:t>Since that time, his whereabouts have remained unknown</w:t>
      </w:r>
      <w:r w:rsidR="00B404E9">
        <w:t>.</w:t>
      </w:r>
    </w:p>
    <w:p w:rsidR="00B404E9" w:rsidRPr="00C574B1" w:rsidRDefault="00B404E9" w:rsidP="00B404E9">
      <w:pPr>
        <w:pStyle w:val="ListParagraph"/>
        <w:rPr>
          <w:lang w:val="nl-NL"/>
        </w:rPr>
      </w:pPr>
    </w:p>
    <w:p w:rsidR="00211B72" w:rsidRDefault="00211B72" w:rsidP="003D4233">
      <w:pPr>
        <w:numPr>
          <w:ilvl w:val="0"/>
          <w:numId w:val="2"/>
        </w:numPr>
        <w:jc w:val="both"/>
      </w:pPr>
      <w:r w:rsidRPr="00462BD9">
        <w:t xml:space="preserve">The complainant </w:t>
      </w:r>
      <w:r>
        <w:t>indicates</w:t>
      </w:r>
      <w:r w:rsidRPr="00462BD9">
        <w:t xml:space="preserve"> that she reported her </w:t>
      </w:r>
      <w:r>
        <w:t>father</w:t>
      </w:r>
      <w:r w:rsidRPr="00462BD9">
        <w:t>’s abduction to</w:t>
      </w:r>
      <w:r>
        <w:t xml:space="preserve"> the</w:t>
      </w:r>
      <w:r w:rsidRPr="00462BD9">
        <w:t xml:space="preserve"> ICRC, </w:t>
      </w:r>
      <w:r>
        <w:t>K</w:t>
      </w:r>
      <w:r w:rsidRPr="00462BD9">
        <w:t>FOR</w:t>
      </w:r>
      <w:r>
        <w:t xml:space="preserve"> and</w:t>
      </w:r>
      <w:r w:rsidRPr="00462BD9">
        <w:t xml:space="preserve"> UNMIK, </w:t>
      </w:r>
      <w:r>
        <w:t xml:space="preserve">including the </w:t>
      </w:r>
      <w:r w:rsidR="00811380">
        <w:t>i</w:t>
      </w:r>
      <w:r w:rsidRPr="00462BD9">
        <w:t xml:space="preserve">nternational </w:t>
      </w:r>
      <w:r w:rsidR="00811380">
        <w:t>p</w:t>
      </w:r>
      <w:r w:rsidRPr="00462BD9">
        <w:t>rosecutor</w:t>
      </w:r>
      <w:r w:rsidR="00811380">
        <w:t xml:space="preserve"> </w:t>
      </w:r>
      <w:r w:rsidR="00E268C3">
        <w:t>(IP) of the Prishtin</w:t>
      </w:r>
      <w:r w:rsidR="00E268C3">
        <w:rPr>
          <w:lang w:val="ru-RU"/>
        </w:rPr>
        <w:t>ё</w:t>
      </w:r>
      <w:r w:rsidR="00E268C3">
        <w:t>/</w:t>
      </w:r>
      <w:r w:rsidR="00E268C3" w:rsidRPr="00462BD9">
        <w:t>Pri</w:t>
      </w:r>
      <w:r w:rsidR="00E268C3">
        <w:t xml:space="preserve">ština </w:t>
      </w:r>
      <w:r w:rsidR="00811380">
        <w:t xml:space="preserve">District Public Prosecutor’s </w:t>
      </w:r>
      <w:r w:rsidR="00E268C3">
        <w:t>Office (DPPO)</w:t>
      </w:r>
      <w:r>
        <w:t>.</w:t>
      </w:r>
    </w:p>
    <w:p w:rsidR="00211B72" w:rsidRDefault="00211B72" w:rsidP="00211B72">
      <w:pPr>
        <w:pStyle w:val="ListParagraph"/>
      </w:pPr>
    </w:p>
    <w:p w:rsidR="00663F5C" w:rsidRPr="00532491" w:rsidRDefault="00663F5C" w:rsidP="003D4233">
      <w:pPr>
        <w:numPr>
          <w:ilvl w:val="0"/>
          <w:numId w:val="2"/>
        </w:numPr>
        <w:jc w:val="both"/>
        <w:rPr>
          <w:i/>
          <w:lang w:val="en-GB"/>
        </w:rPr>
      </w:pPr>
      <w:r w:rsidRPr="00343F54">
        <w:rPr>
          <w:lang w:val="en-GB"/>
        </w:rPr>
        <w:t xml:space="preserve">The ICRC tracing request for Mr </w:t>
      </w:r>
      <w:r w:rsidRPr="0048409F">
        <w:rPr>
          <w:caps/>
        </w:rPr>
        <w:t>ž</w:t>
      </w:r>
      <w:r w:rsidRPr="0048409F">
        <w:t>ivorad</w:t>
      </w:r>
      <w:r>
        <w:t xml:space="preserve"> Krstić was opened on 26 June 1998 and </w:t>
      </w:r>
      <w:r w:rsidRPr="00343F54">
        <w:rPr>
          <w:lang w:val="en-GB"/>
        </w:rPr>
        <w:t>it remains open</w:t>
      </w:r>
      <w:r w:rsidRPr="007321CA">
        <w:rPr>
          <w:vertAlign w:val="superscript"/>
          <w:lang w:val="en-GB"/>
        </w:rPr>
        <w:footnoteReference w:id="12"/>
      </w:r>
      <w:r>
        <w:rPr>
          <w:lang w:val="en-GB"/>
        </w:rPr>
        <w:t>. The relevant entry in the ICRC database contains the same additional information, as the entry in relation to Mr Slobodan Mitrović (</w:t>
      </w:r>
      <w:r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Pr="009C2A5A">
        <w:rPr>
          <w:lang w:val="en-GB"/>
        </w:rPr>
        <w:t xml:space="preserve"> above)</w:t>
      </w:r>
      <w:r w:rsidRPr="009C2A5A">
        <w:t>.</w:t>
      </w:r>
    </w:p>
    <w:p w:rsidR="00663F5C" w:rsidRDefault="00663F5C" w:rsidP="00663F5C">
      <w:pPr>
        <w:pStyle w:val="ListParagraph"/>
        <w:rPr>
          <w:lang w:val="en-GB"/>
        </w:rPr>
      </w:pPr>
    </w:p>
    <w:p w:rsidR="00AC10C8" w:rsidRPr="00AC10C8" w:rsidRDefault="00663F5C" w:rsidP="003D4233">
      <w:pPr>
        <w:numPr>
          <w:ilvl w:val="0"/>
          <w:numId w:val="2"/>
        </w:numPr>
        <w:jc w:val="both"/>
        <w:rPr>
          <w:i/>
          <w:lang w:val="en-GB"/>
        </w:rPr>
      </w:pPr>
      <w:r w:rsidRPr="00AC10C8">
        <w:rPr>
          <w:lang w:val="en-GB"/>
        </w:rPr>
        <w:lastRenderedPageBreak/>
        <w:t xml:space="preserve">The name of Mr </w:t>
      </w:r>
      <w:r w:rsidRPr="00AC10C8">
        <w:rPr>
          <w:caps/>
        </w:rPr>
        <w:t>ž</w:t>
      </w:r>
      <w:r w:rsidRPr="0048409F">
        <w:t>ivorad</w:t>
      </w:r>
      <w:r>
        <w:t xml:space="preserve"> Krstić </w:t>
      </w:r>
      <w:r w:rsidRPr="00AC10C8">
        <w:rPr>
          <w:lang w:val="en-GB"/>
        </w:rPr>
        <w:t>is also in t</w:t>
      </w:r>
      <w:r w:rsidRPr="00AC10C8">
        <w:rPr>
          <w:bCs/>
          <w:lang w:val="en-GB"/>
        </w:rPr>
        <w:t xml:space="preserve">he list of missing persons, which was forwarded by the ICRC to UNMIK on 12 October 2001, for whom the ICRC had collected ante-mortem data in Serbia proper, between 1 July and 20 September 2001, </w:t>
      </w:r>
      <w:r w:rsidRPr="00AC10C8">
        <w:rPr>
          <w:lang w:val="en-GB"/>
        </w:rPr>
        <w:t>as well as in the database compiled by the UNMIK OMPF</w:t>
      </w:r>
      <w:r w:rsidRPr="007321CA">
        <w:rPr>
          <w:rStyle w:val="FootnoteReference"/>
          <w:bCs/>
          <w:lang w:val="en-GB"/>
        </w:rPr>
        <w:footnoteReference w:id="13"/>
      </w:r>
      <w:r w:rsidRPr="00AC10C8">
        <w:rPr>
          <w:lang w:val="en-GB"/>
        </w:rPr>
        <w:t>.</w:t>
      </w:r>
      <w:r w:rsidR="00AC10C8" w:rsidRPr="00AC10C8">
        <w:rPr>
          <w:lang w:val="en-GB"/>
        </w:rPr>
        <w:t xml:space="preserve"> </w:t>
      </w:r>
      <w:r w:rsidR="00AC10C8" w:rsidRPr="00AC10C8">
        <w:rPr>
          <w:bCs/>
          <w:lang w:val="en-GB"/>
        </w:rPr>
        <w:t xml:space="preserve">The entry in relation to </w:t>
      </w:r>
      <w:r w:rsidR="00AC10C8" w:rsidRPr="00AC10C8">
        <w:rPr>
          <w:lang w:val="en-GB"/>
        </w:rPr>
        <w:t xml:space="preserve">Mr </w:t>
      </w:r>
      <w:r w:rsidR="00AC10C8" w:rsidRPr="00AC10C8">
        <w:rPr>
          <w:caps/>
        </w:rPr>
        <w:t>ž</w:t>
      </w:r>
      <w:r w:rsidR="00AC10C8" w:rsidRPr="0048409F">
        <w:t>ivorad</w:t>
      </w:r>
      <w:r w:rsidR="00AC10C8">
        <w:t xml:space="preserve"> Krstić </w:t>
      </w:r>
      <w:r w:rsidR="00AC10C8" w:rsidRPr="00AC10C8">
        <w:rPr>
          <w:bCs/>
          <w:lang w:val="en-GB"/>
        </w:rPr>
        <w:t xml:space="preserve">in the </w:t>
      </w:r>
      <w:r w:rsidR="00AC10C8" w:rsidRPr="00AC10C8">
        <w:rPr>
          <w:lang w:val="en-GB"/>
        </w:rPr>
        <w:t>online database maintained by the ICMP</w:t>
      </w:r>
      <w:r w:rsidR="00AC10C8" w:rsidRPr="00D8407D">
        <w:rPr>
          <w:vertAlign w:val="superscript"/>
          <w:lang w:val="en-GB"/>
        </w:rPr>
        <w:footnoteReference w:id="14"/>
      </w:r>
      <w:r w:rsidR="00AC10C8" w:rsidRPr="00AC10C8">
        <w:rPr>
          <w:lang w:val="en-GB"/>
        </w:rPr>
        <w:t xml:space="preserve"> reads in relevant fields: “Sufficient Reference Samples Collected” and “DNA match not found”.</w:t>
      </w:r>
    </w:p>
    <w:p w:rsidR="00663F5C" w:rsidRDefault="00663F5C" w:rsidP="00663F5C">
      <w:pPr>
        <w:pStyle w:val="ListParagraph"/>
        <w:rPr>
          <w:i/>
          <w:lang w:val="en-GB"/>
        </w:rPr>
      </w:pPr>
    </w:p>
    <w:p w:rsidR="00AE425E" w:rsidRDefault="00663F5C" w:rsidP="003D4233">
      <w:pPr>
        <w:numPr>
          <w:ilvl w:val="0"/>
          <w:numId w:val="2"/>
        </w:numPr>
        <w:jc w:val="both"/>
      </w:pPr>
      <w:r>
        <w:t>Th</w:t>
      </w:r>
      <w:r w:rsidR="00E268C3">
        <w:t>is</w:t>
      </w:r>
      <w:r>
        <w:t xml:space="preserve"> complainant </w:t>
      </w:r>
      <w:r w:rsidR="00AE425E">
        <w:t xml:space="preserve">provides a copy of </w:t>
      </w:r>
      <w:r w:rsidR="00402BB2">
        <w:t xml:space="preserve">what </w:t>
      </w:r>
      <w:r w:rsidR="00E268C3">
        <w:t xml:space="preserve">seems </w:t>
      </w:r>
      <w:r w:rsidR="00402BB2">
        <w:t xml:space="preserve">like a </w:t>
      </w:r>
      <w:r w:rsidR="00AE425E">
        <w:t>statement</w:t>
      </w:r>
      <w:r w:rsidR="00402BB2" w:rsidRPr="00402BB2">
        <w:t xml:space="preserve"> </w:t>
      </w:r>
      <w:r w:rsidR="00E268C3">
        <w:t>from</w:t>
      </w:r>
      <w:r w:rsidR="00402BB2">
        <w:t xml:space="preserve"> a witness, who was in the same bus </w:t>
      </w:r>
      <w:r w:rsidR="00E268C3">
        <w:t xml:space="preserve">with </w:t>
      </w:r>
      <w:r w:rsidR="00E268C3" w:rsidRPr="00AC10C8">
        <w:rPr>
          <w:lang w:val="en-GB"/>
        </w:rPr>
        <w:t xml:space="preserve">Mr </w:t>
      </w:r>
      <w:r w:rsidR="00E268C3" w:rsidRPr="00AC10C8">
        <w:rPr>
          <w:caps/>
        </w:rPr>
        <w:t>ž</w:t>
      </w:r>
      <w:r w:rsidR="00E268C3" w:rsidRPr="0048409F">
        <w:t>ivorad</w:t>
      </w:r>
      <w:r w:rsidR="00E268C3">
        <w:t xml:space="preserve"> Krstić, </w:t>
      </w:r>
      <w:r w:rsidR="00402BB2">
        <w:t xml:space="preserve">on 25 June 1998. According to this witness, on that day there were about 50 passengers </w:t>
      </w:r>
      <w:r w:rsidR="00E268C3">
        <w:t>a</w:t>
      </w:r>
      <w:r w:rsidR="00402BB2">
        <w:t xml:space="preserve">board that bus, Serbs, Albanians and Turks; there were also three armed Yugoslav soldiers in uniforms at the </w:t>
      </w:r>
      <w:r w:rsidR="00402BB2" w:rsidRPr="00500351">
        <w:t xml:space="preserve">back of the bus. The bus departed from Prizren at around 10:30 and in about an hour it stopped at a bus stop in the village </w:t>
      </w:r>
      <w:r w:rsidR="00402BB2" w:rsidRPr="00500351">
        <w:rPr>
          <w:lang w:val="es-ES_tradnl"/>
        </w:rPr>
        <w:t>Carralevë/</w:t>
      </w:r>
      <w:r w:rsidR="00402BB2" w:rsidRPr="00500351">
        <w:t xml:space="preserve">Crnoljevo. </w:t>
      </w:r>
      <w:r w:rsidR="00657364" w:rsidRPr="00500351">
        <w:t xml:space="preserve">At that moment, a group of about 15 armed KLA members surrounded the bus and </w:t>
      </w:r>
      <w:r w:rsidR="007F6C64" w:rsidRPr="00500351">
        <w:t xml:space="preserve">made </w:t>
      </w:r>
      <w:r w:rsidR="00657364" w:rsidRPr="00500351">
        <w:t xml:space="preserve">all </w:t>
      </w:r>
      <w:r w:rsidR="00E268C3" w:rsidRPr="00500351">
        <w:t xml:space="preserve">the </w:t>
      </w:r>
      <w:r w:rsidR="00657364" w:rsidRPr="00500351">
        <w:t xml:space="preserve">Serb passengers </w:t>
      </w:r>
      <w:r w:rsidR="007F6C64" w:rsidRPr="00500351">
        <w:t xml:space="preserve">(one woman and four men) </w:t>
      </w:r>
      <w:r w:rsidR="00657364" w:rsidRPr="00500351">
        <w:t>to step outside</w:t>
      </w:r>
      <w:r w:rsidR="007F6C64" w:rsidRPr="00500351">
        <w:t>;</w:t>
      </w:r>
      <w:r w:rsidR="00657364" w:rsidRPr="00500351">
        <w:t xml:space="preserve"> three of them very soon came back and the bus driver was ordered to leave the place and continue </w:t>
      </w:r>
      <w:r w:rsidR="00E268C3" w:rsidRPr="00500351">
        <w:t xml:space="preserve">up </w:t>
      </w:r>
      <w:r w:rsidR="00657364" w:rsidRPr="00500351">
        <w:t>the road</w:t>
      </w:r>
      <w:r w:rsidR="007F6C64" w:rsidRPr="00500351">
        <w:t xml:space="preserve">. Mr </w:t>
      </w:r>
      <w:r w:rsidR="007F6C64" w:rsidRPr="00500351">
        <w:rPr>
          <w:caps/>
        </w:rPr>
        <w:t>ž</w:t>
      </w:r>
      <w:r w:rsidR="007F6C64" w:rsidRPr="00500351">
        <w:t>ivorad Krstić was one of the two passengers who did not return to the bus</w:t>
      </w:r>
      <w:r w:rsidR="00657364" w:rsidRPr="00500351">
        <w:t xml:space="preserve">. The soldiers were not taken by the KLA, as, according to </w:t>
      </w:r>
      <w:r w:rsidR="00E268C3" w:rsidRPr="00500351">
        <w:t>the same</w:t>
      </w:r>
      <w:r w:rsidR="00E268C3">
        <w:t xml:space="preserve"> </w:t>
      </w:r>
      <w:r w:rsidR="00657364">
        <w:t xml:space="preserve">witness, they had hidden under the seats. The witness also provided the </w:t>
      </w:r>
      <w:r w:rsidR="00E268C3">
        <w:t xml:space="preserve">name </w:t>
      </w:r>
      <w:r w:rsidR="00657364">
        <w:t xml:space="preserve">of the private company that owed the bus, the registration number of the bus and the name of </w:t>
      </w:r>
      <w:r w:rsidR="00E268C3">
        <w:t>another person</w:t>
      </w:r>
      <w:r w:rsidR="00657364">
        <w:t>, who was with him on that bus.</w:t>
      </w:r>
    </w:p>
    <w:p w:rsidR="00211B72" w:rsidRDefault="00211B72" w:rsidP="00211B72">
      <w:pPr>
        <w:pStyle w:val="ListParagraph"/>
      </w:pPr>
    </w:p>
    <w:p w:rsidR="00E6638E" w:rsidRDefault="00663F5C" w:rsidP="003D4233">
      <w:pPr>
        <w:pStyle w:val="ListParagraph"/>
        <w:numPr>
          <w:ilvl w:val="0"/>
          <w:numId w:val="2"/>
        </w:numPr>
        <w:tabs>
          <w:tab w:val="clear" w:pos="360"/>
          <w:tab w:val="num" w:pos="540"/>
        </w:tabs>
        <w:suppressAutoHyphens w:val="0"/>
        <w:contextualSpacing/>
        <w:jc w:val="both"/>
      </w:pPr>
      <w:bookmarkStart w:id="17" w:name="_Ref391979788"/>
      <w:r w:rsidRPr="00B404E9">
        <w:t xml:space="preserve">Mrs </w:t>
      </w:r>
      <w:r w:rsidRPr="00E6638E">
        <w:rPr>
          <w:bCs/>
          <w:lang w:val="en-GB"/>
        </w:rPr>
        <w:t>Snežana Simonović</w:t>
      </w:r>
      <w:r w:rsidRPr="00B404E9">
        <w:t xml:space="preserve"> </w:t>
      </w:r>
      <w:r w:rsidR="00211B72">
        <w:t>also provides a copy of a contract</w:t>
      </w:r>
      <w:r w:rsidR="00E268C3" w:rsidRPr="00E268C3">
        <w:t xml:space="preserve"> </w:t>
      </w:r>
      <w:r w:rsidR="00E268C3">
        <w:t>for the sale of real property</w:t>
      </w:r>
      <w:r w:rsidR="00211B72">
        <w:t>, concluded on 15 August 2001</w:t>
      </w:r>
      <w:r>
        <w:t xml:space="preserve"> and registered on the same day by the Municipal Court</w:t>
      </w:r>
      <w:r w:rsidR="00E6638E" w:rsidRPr="00E6638E">
        <w:rPr>
          <w:lang w:val="ru-RU"/>
        </w:rPr>
        <w:t xml:space="preserve"> (</w:t>
      </w:r>
      <w:r w:rsidR="00E6638E">
        <w:t>MC)</w:t>
      </w:r>
      <w:r>
        <w:t xml:space="preserve"> of Mitrovic</w:t>
      </w:r>
      <w:r w:rsidRPr="00E6638E">
        <w:rPr>
          <w:lang w:val="ru-RU"/>
        </w:rPr>
        <w:t>ё</w:t>
      </w:r>
      <w:r>
        <w:t>/Mitrovica under the no. 1140/2001.</w:t>
      </w:r>
      <w:r w:rsidR="00D01593">
        <w:t xml:space="preserve"> According to this contract, on that date Mr</w:t>
      </w:r>
      <w:r w:rsidR="00D01593" w:rsidRPr="00E6638E">
        <w:rPr>
          <w:caps/>
        </w:rPr>
        <w:t xml:space="preserve"> ž</w:t>
      </w:r>
      <w:r w:rsidR="00D01593" w:rsidRPr="0048409F">
        <w:t>ivorad</w:t>
      </w:r>
      <w:r w:rsidR="00D01593">
        <w:t xml:space="preserve"> Krstić </w:t>
      </w:r>
      <w:r w:rsidR="006C493F">
        <w:t xml:space="preserve">had </w:t>
      </w:r>
      <w:r w:rsidR="00D01593">
        <w:t>sold all his immovable property in Prishtin</w:t>
      </w:r>
      <w:r w:rsidR="00D01593" w:rsidRPr="00E6638E">
        <w:rPr>
          <w:lang w:val="ru-RU"/>
        </w:rPr>
        <w:t>ё</w:t>
      </w:r>
      <w:r w:rsidR="00D01593">
        <w:t>/Priština (a house and a</w:t>
      </w:r>
      <w:r w:rsidR="006C493F">
        <w:t>n adjustment</w:t>
      </w:r>
      <w:r w:rsidR="00D01593">
        <w:t xml:space="preserve"> </w:t>
      </w:r>
      <w:r w:rsidR="006C493F">
        <w:t>land parcel</w:t>
      </w:r>
      <w:r w:rsidR="00D01593">
        <w:t xml:space="preserve">) </w:t>
      </w:r>
      <w:r>
        <w:t xml:space="preserve">to Ms H.B., </w:t>
      </w:r>
      <w:r w:rsidR="00D01593">
        <w:t xml:space="preserve">for 300.000 deutschemarks, </w:t>
      </w:r>
      <w:r w:rsidR="006C493F">
        <w:t xml:space="preserve">had collected </w:t>
      </w:r>
      <w:r w:rsidR="00D01593">
        <w:t xml:space="preserve">the money, and </w:t>
      </w:r>
      <w:r w:rsidR="006C493F">
        <w:t xml:space="preserve">had </w:t>
      </w:r>
      <w:r w:rsidR="00D01593">
        <w:t>personally signed the contract.</w:t>
      </w:r>
      <w:r w:rsidR="00E6638E">
        <w:t xml:space="preserve"> A lawyer, Mr </w:t>
      </w:r>
      <w:r w:rsidR="00CB51CF">
        <w:t>B.Ç.</w:t>
      </w:r>
      <w:r w:rsidR="00E6638E">
        <w:t>, authorised by the buyer, had signed the contract on her behalf.</w:t>
      </w:r>
    </w:p>
    <w:p w:rsidR="00E6638E" w:rsidRDefault="00E6638E" w:rsidP="00E6638E">
      <w:pPr>
        <w:pStyle w:val="ListParagraph"/>
      </w:pPr>
    </w:p>
    <w:p w:rsidR="006C493F" w:rsidRPr="00BF7BC9" w:rsidRDefault="00D01593" w:rsidP="003D4233">
      <w:pPr>
        <w:pStyle w:val="ListParagraph"/>
        <w:numPr>
          <w:ilvl w:val="0"/>
          <w:numId w:val="2"/>
        </w:numPr>
        <w:tabs>
          <w:tab w:val="clear" w:pos="360"/>
          <w:tab w:val="num" w:pos="540"/>
        </w:tabs>
        <w:suppressAutoHyphens w:val="0"/>
        <w:contextualSpacing/>
        <w:jc w:val="both"/>
        <w:rPr>
          <w:lang w:val="en-GB"/>
        </w:rPr>
      </w:pPr>
      <w:bookmarkStart w:id="18" w:name="_Ref391996382"/>
      <w:r>
        <w:t>According to a</w:t>
      </w:r>
      <w:r w:rsidR="00663F5C">
        <w:t xml:space="preserve"> stamp on the back of the contract, the</w:t>
      </w:r>
      <w:r>
        <w:t xml:space="preserve"> </w:t>
      </w:r>
      <w:r w:rsidR="00663F5C">
        <w:t xml:space="preserve">sales </w:t>
      </w:r>
      <w:r>
        <w:t xml:space="preserve">tax </w:t>
      </w:r>
      <w:r w:rsidR="00663F5C">
        <w:t xml:space="preserve">in the amount of </w:t>
      </w:r>
      <w:r>
        <w:t xml:space="preserve">2500 deutschemarks </w:t>
      </w:r>
      <w:r w:rsidR="00663F5C">
        <w:t>was paid to the Directorate of Economy, Municipality of Prishtin</w:t>
      </w:r>
      <w:r w:rsidR="00663F5C" w:rsidRPr="00663F5C">
        <w:rPr>
          <w:lang w:val="ru-RU"/>
        </w:rPr>
        <w:t>ё</w:t>
      </w:r>
      <w:r w:rsidR="00663F5C">
        <w:t>/Pristina; this payment appears to have been registered under the no. 03-1/651 of 24 August 2001.</w:t>
      </w:r>
      <w:bookmarkEnd w:id="17"/>
      <w:r w:rsidR="006C493F" w:rsidRPr="006C493F">
        <w:t xml:space="preserve"> </w:t>
      </w:r>
      <w:r w:rsidR="006C493F">
        <w:t xml:space="preserve">The middle name of </w:t>
      </w:r>
      <w:r w:rsidR="006C493F">
        <w:rPr>
          <w:lang w:val="en-GB"/>
        </w:rPr>
        <w:t>M</w:t>
      </w:r>
      <w:r w:rsidR="006C493F" w:rsidRPr="008A4242">
        <w:rPr>
          <w:lang w:val="en-GB"/>
        </w:rPr>
        <w:t>r Živorad Krstić</w:t>
      </w:r>
      <w:r w:rsidR="006C493F">
        <w:rPr>
          <w:lang w:val="en-GB"/>
        </w:rPr>
        <w:t xml:space="preserve"> in the text of the contract is </w:t>
      </w:r>
      <w:r w:rsidR="00E268C3">
        <w:rPr>
          <w:lang w:val="en-GB"/>
        </w:rPr>
        <w:t>mis</w:t>
      </w:r>
      <w:r w:rsidR="006C493F">
        <w:rPr>
          <w:lang w:val="en-GB"/>
        </w:rPr>
        <w:t xml:space="preserve">spelled </w:t>
      </w:r>
      <w:r w:rsidR="00E268C3">
        <w:rPr>
          <w:lang w:val="en-GB"/>
        </w:rPr>
        <w:t>(“</w:t>
      </w:r>
      <w:r w:rsidR="006C493F">
        <w:rPr>
          <w:lang w:val="en-GB"/>
        </w:rPr>
        <w:t>Jeremića”</w:t>
      </w:r>
      <w:r w:rsidR="00E268C3">
        <w:rPr>
          <w:lang w:val="en-GB"/>
        </w:rPr>
        <w:t xml:space="preserve"> instead of Jeremija)</w:t>
      </w:r>
      <w:r w:rsidR="006C493F">
        <w:rPr>
          <w:lang w:val="en-GB"/>
        </w:rPr>
        <w:t>, and his Serbian personal identity number (</w:t>
      </w:r>
      <w:r w:rsidR="007E6FFC">
        <w:rPr>
          <w:lang w:val="en-GB"/>
        </w:rPr>
        <w:t>the “</w:t>
      </w:r>
      <w:r w:rsidR="006C493F">
        <w:rPr>
          <w:lang w:val="en-GB"/>
        </w:rPr>
        <w:t>JMBG</w:t>
      </w:r>
      <w:r w:rsidR="007E6FFC">
        <w:rPr>
          <w:lang w:val="en-GB"/>
        </w:rPr>
        <w:t>”</w:t>
      </w:r>
      <w:r w:rsidR="006C493F">
        <w:rPr>
          <w:lang w:val="en-GB"/>
        </w:rPr>
        <w:t>) is different from the one on his ID card, a copy of which was provided by the complainant.</w:t>
      </w:r>
      <w:bookmarkEnd w:id="18"/>
    </w:p>
    <w:p w:rsidR="001A43F5" w:rsidRDefault="001A43F5" w:rsidP="00B404E9">
      <w:pPr>
        <w:jc w:val="both"/>
      </w:pPr>
    </w:p>
    <w:p w:rsidR="001A43F5" w:rsidRPr="001A43F5" w:rsidRDefault="00F30730"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1A43F5" w:rsidRPr="001A43F5">
        <w:rPr>
          <w:bCs/>
          <w:i/>
          <w:lang w:val="en-GB"/>
        </w:rPr>
        <w:t xml:space="preserve">of </w:t>
      </w:r>
      <w:r w:rsidR="001A43F5" w:rsidRPr="001A43F5">
        <w:rPr>
          <w:i/>
        </w:rPr>
        <w:t>Mr Miroslav Šuljinić (</w:t>
      </w:r>
      <w:r w:rsidR="001A43F5" w:rsidRPr="001A43F5">
        <w:rPr>
          <w:i/>
          <w:lang w:val="en-GB"/>
        </w:rPr>
        <w:t>case no. 276/09)</w:t>
      </w:r>
    </w:p>
    <w:p w:rsidR="00B404E9" w:rsidRDefault="00B404E9" w:rsidP="00B404E9">
      <w:pPr>
        <w:jc w:val="both"/>
        <w:rPr>
          <w:lang w:val="en-GB"/>
        </w:rPr>
      </w:pPr>
    </w:p>
    <w:p w:rsidR="00B404E9" w:rsidRPr="004063F0" w:rsidRDefault="00B404E9" w:rsidP="003D4233">
      <w:pPr>
        <w:numPr>
          <w:ilvl w:val="0"/>
          <w:numId w:val="2"/>
        </w:numPr>
        <w:jc w:val="both"/>
      </w:pPr>
      <w:r w:rsidRPr="004063F0">
        <w:t xml:space="preserve">The complainant states that on 21 May 1998, Mr Miroslav Šuljinić was abducted by </w:t>
      </w:r>
      <w:r w:rsidR="00AE425E">
        <w:t xml:space="preserve">KLA </w:t>
      </w:r>
      <w:r w:rsidRPr="004063F0">
        <w:t>members near Llapushnik/Lapušnik</w:t>
      </w:r>
      <w:r w:rsidR="00E12240">
        <w:t xml:space="preserve"> village</w:t>
      </w:r>
      <w:r w:rsidRPr="004063F0">
        <w:t>, Gllogovc/Glogovac municipality. Since that time Mr Šuljinić’s whereabouts have remained unknown.</w:t>
      </w:r>
    </w:p>
    <w:p w:rsidR="00B404E9" w:rsidRPr="004063F0" w:rsidRDefault="00B404E9" w:rsidP="00B404E9">
      <w:pPr>
        <w:pStyle w:val="ListParagraph"/>
      </w:pPr>
    </w:p>
    <w:p w:rsidR="00B404E9" w:rsidRDefault="00B404E9" w:rsidP="003D4233">
      <w:pPr>
        <w:numPr>
          <w:ilvl w:val="0"/>
          <w:numId w:val="2"/>
        </w:numPr>
        <w:jc w:val="both"/>
      </w:pPr>
      <w:r w:rsidRPr="004063F0">
        <w:t xml:space="preserve">The complainant </w:t>
      </w:r>
      <w:r w:rsidR="00E268C3">
        <w:t>states</w:t>
      </w:r>
      <w:r w:rsidRPr="004063F0">
        <w:t xml:space="preserve"> that the disappearance was reported to the </w:t>
      </w:r>
      <w:r w:rsidR="009A64D3">
        <w:t xml:space="preserve">ICRC and the </w:t>
      </w:r>
      <w:r w:rsidRPr="004063F0">
        <w:t>Serbian M</w:t>
      </w:r>
      <w:r w:rsidR="009A64D3">
        <w:t>UP.</w:t>
      </w:r>
    </w:p>
    <w:p w:rsidR="00E12240" w:rsidRDefault="00E12240" w:rsidP="00E12240">
      <w:pPr>
        <w:pStyle w:val="ListParagraph"/>
      </w:pPr>
    </w:p>
    <w:p w:rsidR="00E12240" w:rsidRDefault="00E12240" w:rsidP="003D4233">
      <w:pPr>
        <w:numPr>
          <w:ilvl w:val="0"/>
          <w:numId w:val="2"/>
        </w:numPr>
        <w:jc w:val="both"/>
      </w:pPr>
      <w:r>
        <w:t xml:space="preserve">Mr Jeremija </w:t>
      </w:r>
      <w:r w:rsidRPr="004063F0">
        <w:t>Šuljinić</w:t>
      </w:r>
      <w:r>
        <w:t xml:space="preserve"> provides a certificate issued on 1 December 2003 by the Serbian MUP, ref. no. 986/2003, confirming that on 13 December 2002, </w:t>
      </w:r>
      <w:r w:rsidR="00E268C3">
        <w:t xml:space="preserve">the Serbian </w:t>
      </w:r>
      <w:r>
        <w:t xml:space="preserve">MUP submitted a criminal report against unknown perpetrators in relation to the abduction of Mr </w:t>
      </w:r>
      <w:r w:rsidRPr="004063F0">
        <w:t>Miroslav Šuljinić</w:t>
      </w:r>
      <w:r>
        <w:t xml:space="preserve">. </w:t>
      </w:r>
      <w:r w:rsidR="00E268C3">
        <w:t>The</w:t>
      </w:r>
      <w:r>
        <w:t xml:space="preserve"> document</w:t>
      </w:r>
      <w:r w:rsidR="00E268C3">
        <w:t xml:space="preserve"> shows that </w:t>
      </w:r>
      <w:r>
        <w:t xml:space="preserve">the case was registered by the </w:t>
      </w:r>
      <w:r w:rsidR="00E268C3">
        <w:t xml:space="preserve">DPPO for </w:t>
      </w:r>
      <w:r>
        <w:t>Prishtin</w:t>
      </w:r>
      <w:r w:rsidRPr="00663F5C">
        <w:rPr>
          <w:lang w:val="ru-RU"/>
        </w:rPr>
        <w:t>ё</w:t>
      </w:r>
      <w:r>
        <w:t>/Priština, located in Niš, Serbia proper, under the no. KU 145/02.</w:t>
      </w:r>
    </w:p>
    <w:p w:rsidR="00AE425E" w:rsidRDefault="00AE425E" w:rsidP="00AE425E">
      <w:pPr>
        <w:pStyle w:val="ListParagraph"/>
      </w:pPr>
    </w:p>
    <w:p w:rsidR="00AE425E" w:rsidRPr="00AE425E" w:rsidRDefault="00AE425E" w:rsidP="003D4233">
      <w:pPr>
        <w:numPr>
          <w:ilvl w:val="0"/>
          <w:numId w:val="2"/>
        </w:numPr>
        <w:jc w:val="both"/>
        <w:rPr>
          <w:i/>
          <w:lang w:val="en-GB"/>
        </w:rPr>
      </w:pPr>
      <w:r w:rsidRPr="00AE425E">
        <w:rPr>
          <w:lang w:val="en-GB"/>
        </w:rPr>
        <w:t xml:space="preserve">The ICRC tracing request for </w:t>
      </w:r>
      <w:r w:rsidRPr="004063F0">
        <w:t>Mr Miroslav Šuljinić</w:t>
      </w:r>
      <w:r w:rsidRPr="00AE425E">
        <w:rPr>
          <w:lang w:val="en-GB"/>
        </w:rPr>
        <w:t xml:space="preserve"> remains open</w:t>
      </w:r>
      <w:r w:rsidRPr="007321CA">
        <w:rPr>
          <w:vertAlign w:val="superscript"/>
          <w:lang w:val="en-GB"/>
        </w:rPr>
        <w:footnoteReference w:id="15"/>
      </w:r>
      <w:r w:rsidRPr="00AE425E">
        <w:rPr>
          <w:lang w:val="en-GB"/>
        </w:rPr>
        <w:t>. The field “Date of last contact/news” in the relevant entry in the ICRC database reads “</w:t>
      </w:r>
      <w:r w:rsidR="00E12240">
        <w:rPr>
          <w:lang w:val="en-GB"/>
        </w:rPr>
        <w:t>21</w:t>
      </w:r>
      <w:r w:rsidRPr="00AE425E">
        <w:rPr>
          <w:lang w:val="en-GB"/>
        </w:rPr>
        <w:t>.0</w:t>
      </w:r>
      <w:r w:rsidR="00E12240">
        <w:rPr>
          <w:lang w:val="en-GB"/>
        </w:rPr>
        <w:t>5</w:t>
      </w:r>
      <w:r w:rsidRPr="00AE425E">
        <w:rPr>
          <w:lang w:val="en-GB"/>
        </w:rPr>
        <w:t>.1998”</w:t>
      </w:r>
      <w:r>
        <w:rPr>
          <w:lang w:val="en-GB"/>
        </w:rPr>
        <w:t>,</w:t>
      </w:r>
      <w:r w:rsidRPr="00AE425E">
        <w:rPr>
          <w:lang w:val="en-GB"/>
        </w:rPr>
        <w:t xml:space="preserve"> the field “Place of last contact/news” reads “</w:t>
      </w:r>
      <w:r w:rsidRPr="00532491">
        <w:t>LAPUSNIK/LLAPUSHNIK</w:t>
      </w:r>
      <w:r>
        <w:t xml:space="preserve">”, and </w:t>
      </w:r>
      <w:r w:rsidRPr="00AE425E">
        <w:rPr>
          <w:lang w:val="en-GB"/>
        </w:rPr>
        <w:t>the field “District of last contact/news” reads “</w:t>
      </w:r>
      <w:r>
        <w:t>GLOGOVAC/GLLOGOVC”.</w:t>
      </w:r>
    </w:p>
    <w:p w:rsidR="00AE425E" w:rsidRDefault="00AE425E" w:rsidP="00AE425E">
      <w:pPr>
        <w:pStyle w:val="ListParagraph"/>
        <w:rPr>
          <w:lang w:val="en-GB"/>
        </w:rPr>
      </w:pPr>
    </w:p>
    <w:p w:rsidR="00AE425E" w:rsidRPr="00532491" w:rsidRDefault="00AE425E" w:rsidP="003D4233">
      <w:pPr>
        <w:numPr>
          <w:ilvl w:val="0"/>
          <w:numId w:val="2"/>
        </w:numPr>
        <w:jc w:val="both"/>
        <w:rPr>
          <w:i/>
          <w:lang w:val="en-GB"/>
        </w:rPr>
      </w:pPr>
      <w:r>
        <w:rPr>
          <w:lang w:val="en-GB"/>
        </w:rPr>
        <w:t xml:space="preserve">The </w:t>
      </w:r>
      <w:r w:rsidRPr="00343F54">
        <w:rPr>
          <w:lang w:val="en-GB"/>
        </w:rPr>
        <w:t xml:space="preserve">name </w:t>
      </w:r>
      <w:r>
        <w:rPr>
          <w:lang w:val="en-GB"/>
        </w:rPr>
        <w:t xml:space="preserve">of </w:t>
      </w:r>
      <w:r w:rsidR="006C493F" w:rsidRPr="004063F0">
        <w:t>Mr Miroslav Šuljinić</w:t>
      </w:r>
      <w:r w:rsidR="006C493F" w:rsidRPr="00AE425E">
        <w:rPr>
          <w:lang w:val="en-GB"/>
        </w:rPr>
        <w:t xml:space="preserve"> </w:t>
      </w:r>
      <w:r w:rsidRPr="00343F54">
        <w:rPr>
          <w:lang w:val="en-GB"/>
        </w:rPr>
        <w:t>is also in t</w:t>
      </w:r>
      <w:r w:rsidRPr="00343F54">
        <w:rPr>
          <w:bCs/>
          <w:lang w:val="en-GB"/>
        </w:rPr>
        <w:t>he list of missing persons</w:t>
      </w:r>
      <w:r>
        <w:rPr>
          <w:bCs/>
          <w:lang w:val="en-GB"/>
        </w:rPr>
        <w:t xml:space="preserve">, which </w:t>
      </w:r>
      <w:r w:rsidRPr="00343F54">
        <w:rPr>
          <w:bCs/>
          <w:lang w:val="en-GB"/>
        </w:rPr>
        <w:t xml:space="preserve">was forwarded by the ICRC to UNMIK on 12 October 2001, for whom the ICRC had collected ante-mortem data in Serbia proper, between 1 July and 20 September 2001, </w:t>
      </w:r>
      <w:r w:rsidRPr="00343F54">
        <w:rPr>
          <w:lang w:val="en-GB"/>
        </w:rPr>
        <w:t>as well as in the database compiled by the UNMIK OMPF</w:t>
      </w:r>
      <w:r w:rsidRPr="007321CA">
        <w:rPr>
          <w:rStyle w:val="FootnoteReference"/>
          <w:bCs/>
          <w:lang w:val="en-GB"/>
        </w:rPr>
        <w:footnoteReference w:id="16"/>
      </w:r>
      <w:r w:rsidRPr="00343F54">
        <w:rPr>
          <w:lang w:val="en-GB"/>
        </w:rPr>
        <w:t>.</w:t>
      </w:r>
    </w:p>
    <w:p w:rsidR="00E12240" w:rsidRDefault="00E12240" w:rsidP="00E12240">
      <w:pPr>
        <w:pStyle w:val="ListParagraph"/>
        <w:rPr>
          <w:lang w:val="en-GB"/>
        </w:rPr>
      </w:pPr>
    </w:p>
    <w:p w:rsidR="00E12240" w:rsidRPr="00343F54" w:rsidRDefault="00E12240" w:rsidP="003D4233">
      <w:pPr>
        <w:numPr>
          <w:ilvl w:val="0"/>
          <w:numId w:val="2"/>
        </w:numPr>
        <w:jc w:val="both"/>
        <w:rPr>
          <w:i/>
          <w:lang w:val="en-GB"/>
        </w:rPr>
      </w:pPr>
      <w:r w:rsidRPr="00343F54">
        <w:rPr>
          <w:bCs/>
          <w:lang w:val="en-GB"/>
        </w:rPr>
        <w:t xml:space="preserve">The entry in relation to </w:t>
      </w:r>
      <w:r w:rsidRPr="00343F54">
        <w:rPr>
          <w:lang w:val="en-GB"/>
        </w:rPr>
        <w:t xml:space="preserve">Mr </w:t>
      </w:r>
      <w:r w:rsidR="007E6FFC" w:rsidRPr="004063F0">
        <w:t>Miroslav Šuljinić</w:t>
      </w:r>
      <w:r w:rsidR="007E6FFC" w:rsidRPr="00AE425E">
        <w:rPr>
          <w:lang w:val="en-GB"/>
        </w:rPr>
        <w:t xml:space="preserve"> </w:t>
      </w:r>
      <w:r w:rsidRPr="00343F54">
        <w:rPr>
          <w:bCs/>
          <w:lang w:val="en-GB"/>
        </w:rPr>
        <w:t xml:space="preserve">in the </w:t>
      </w:r>
      <w:r w:rsidRPr="00343F54">
        <w:rPr>
          <w:lang w:val="en-GB"/>
        </w:rPr>
        <w:t>online database maintained by the ICMP</w:t>
      </w:r>
      <w:r w:rsidRPr="00D8407D">
        <w:rPr>
          <w:vertAlign w:val="superscript"/>
          <w:lang w:val="en-GB"/>
        </w:rPr>
        <w:footnoteReference w:id="17"/>
      </w:r>
      <w:r>
        <w:rPr>
          <w:lang w:val="en-GB"/>
        </w:rPr>
        <w:t xml:space="preserve"> </w:t>
      </w:r>
      <w:r w:rsidRPr="00343F54">
        <w:rPr>
          <w:lang w:val="en-GB"/>
        </w:rPr>
        <w:t>reads in relevant fields: “Sufficient Reference Samples Collected” and “DNA match not found”.</w:t>
      </w:r>
    </w:p>
    <w:p w:rsidR="00AE425E" w:rsidRPr="000736D4" w:rsidRDefault="00AE425E" w:rsidP="000B3F6A">
      <w:pPr>
        <w:jc w:val="both"/>
        <w:rPr>
          <w:b/>
          <w:lang w:val="en-GB"/>
        </w:rPr>
      </w:pPr>
    </w:p>
    <w:p w:rsidR="00C0731E" w:rsidRPr="000736D4" w:rsidRDefault="00C0731E" w:rsidP="003D4233">
      <w:pPr>
        <w:pStyle w:val="ListParagraph"/>
        <w:numPr>
          <w:ilvl w:val="0"/>
          <w:numId w:val="3"/>
        </w:numPr>
        <w:autoSpaceDE w:val="0"/>
        <w:jc w:val="both"/>
        <w:rPr>
          <w:b/>
          <w:lang w:val="en-GB"/>
        </w:rPr>
      </w:pPr>
      <w:r w:rsidRPr="000736D4">
        <w:rPr>
          <w:b/>
          <w:lang w:val="en-GB"/>
        </w:rPr>
        <w:t xml:space="preserve">The </w:t>
      </w:r>
      <w:r w:rsidRPr="000736D4">
        <w:rPr>
          <w:b/>
          <w:bCs/>
          <w:lang w:val="en-GB"/>
        </w:rPr>
        <w:t>investigation</w:t>
      </w:r>
    </w:p>
    <w:p w:rsidR="00C0731E" w:rsidRDefault="00C0731E" w:rsidP="00C0731E">
      <w:pPr>
        <w:pStyle w:val="ListParagraph"/>
        <w:jc w:val="both"/>
        <w:rPr>
          <w:i/>
          <w:lang w:val="en-GB"/>
        </w:rPr>
      </w:pPr>
    </w:p>
    <w:p w:rsidR="000E6180" w:rsidRPr="00641D5D" w:rsidRDefault="000E6180" w:rsidP="00F0555D">
      <w:pPr>
        <w:pStyle w:val="ListParagraph"/>
        <w:numPr>
          <w:ilvl w:val="0"/>
          <w:numId w:val="14"/>
        </w:numPr>
        <w:ind w:left="270" w:hanging="270"/>
        <w:jc w:val="both"/>
        <w:rPr>
          <w:i/>
          <w:lang w:val="en-GB"/>
        </w:rPr>
      </w:pPr>
      <w:r w:rsidRPr="00641D5D">
        <w:rPr>
          <w:i/>
          <w:lang w:val="en-GB"/>
        </w:rPr>
        <w:t>Disclosure of relevant files</w:t>
      </w:r>
    </w:p>
    <w:p w:rsidR="000E6180" w:rsidRPr="00D22581" w:rsidRDefault="000E6180" w:rsidP="00C0731E">
      <w:pPr>
        <w:pStyle w:val="ListParagraph"/>
        <w:jc w:val="both"/>
        <w:rPr>
          <w:i/>
          <w:lang w:val="en-GB"/>
        </w:rPr>
      </w:pPr>
    </w:p>
    <w:p w:rsidR="00320180" w:rsidRPr="00500351" w:rsidRDefault="00933399" w:rsidP="003D4233">
      <w:pPr>
        <w:pStyle w:val="ListParagraph"/>
        <w:numPr>
          <w:ilvl w:val="0"/>
          <w:numId w:val="2"/>
        </w:numPr>
        <w:tabs>
          <w:tab w:val="clear" w:pos="360"/>
          <w:tab w:val="num" w:pos="540"/>
        </w:tabs>
        <w:suppressAutoHyphens w:val="0"/>
        <w:contextualSpacing/>
        <w:jc w:val="both"/>
      </w:pPr>
      <w:bookmarkStart w:id="19" w:name="_Ref398292585"/>
      <w:r w:rsidRPr="00320180">
        <w:rPr>
          <w:lang w:val="en-GB"/>
        </w:rPr>
        <w:t xml:space="preserve">In the present case, the Panel received from </w:t>
      </w:r>
      <w:r w:rsidRPr="00500351">
        <w:rPr>
          <w:lang w:val="en-GB"/>
        </w:rPr>
        <w:t>UNMIK investigative documents previously held by the UNMIK OMP</w:t>
      </w:r>
      <w:r w:rsidR="00A4704B" w:rsidRPr="00500351">
        <w:rPr>
          <w:lang w:val="en-GB"/>
        </w:rPr>
        <w:t>F and</w:t>
      </w:r>
      <w:r w:rsidR="00B31CF4" w:rsidRPr="00500351">
        <w:rPr>
          <w:lang w:val="en-GB"/>
        </w:rPr>
        <w:t xml:space="preserve"> the</w:t>
      </w:r>
      <w:r w:rsidR="00A4704B" w:rsidRPr="00500351">
        <w:rPr>
          <w:lang w:val="en-GB"/>
        </w:rPr>
        <w:t xml:space="preserve"> UNMIK Police WC</w:t>
      </w:r>
      <w:r w:rsidR="00497EA4" w:rsidRPr="00500351">
        <w:rPr>
          <w:lang w:val="en-GB"/>
        </w:rPr>
        <w:t>I</w:t>
      </w:r>
      <w:r w:rsidR="00A4704B" w:rsidRPr="00500351">
        <w:rPr>
          <w:lang w:val="en-GB"/>
        </w:rPr>
        <w:t>U</w:t>
      </w:r>
      <w:r w:rsidRPr="00500351">
        <w:rPr>
          <w:lang w:val="en-GB"/>
        </w:rPr>
        <w:t>.</w:t>
      </w:r>
      <w:r w:rsidR="00320180" w:rsidRPr="00500351">
        <w:rPr>
          <w:lang w:val="en-GB"/>
        </w:rPr>
        <w:t xml:space="preserve"> In addition, on 17 December 2012, the Panel received some investigative </w:t>
      </w:r>
      <w:r w:rsidR="00320180" w:rsidRPr="00500351">
        <w:t>documents in relation to the investigation into Mr Miroslav Šuljinić’s abduction, which were returned from the UN Headquarters’ archives (see §</w:t>
      </w:r>
      <w:r w:rsidR="002F739D" w:rsidRPr="00500351">
        <w:t xml:space="preserve"> </w:t>
      </w:r>
      <w:r w:rsidR="009C2A5A">
        <w:fldChar w:fldCharType="begin"/>
      </w:r>
      <w:r w:rsidR="009C2A5A">
        <w:instrText xml:space="preserve"> REF _Ref372640476 \r \h  \* MERGEFORMAT </w:instrText>
      </w:r>
      <w:r w:rsidR="009C2A5A">
        <w:fldChar w:fldCharType="separate"/>
      </w:r>
      <w:r w:rsidR="009C2A5A">
        <w:t>15</w:t>
      </w:r>
      <w:r w:rsidR="009C2A5A">
        <w:fldChar w:fldCharType="end"/>
      </w:r>
      <w:r w:rsidR="00320180" w:rsidRPr="00500351">
        <w:t xml:space="preserve"> above).</w:t>
      </w:r>
      <w:r w:rsidR="00320180" w:rsidRPr="00500351">
        <w:rPr>
          <w:lang w:val="en-GB"/>
        </w:rPr>
        <w:t xml:space="preserve"> The Panel notes that UNMIK has confirmed that all available documents have been provided.</w:t>
      </w:r>
      <w:bookmarkEnd w:id="19"/>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3D4233">
      <w:pPr>
        <w:pStyle w:val="ListParagraph"/>
        <w:numPr>
          <w:ilvl w:val="0"/>
          <w:numId w:val="2"/>
        </w:numPr>
        <w:tabs>
          <w:tab w:val="clear" w:pos="360"/>
          <w:tab w:val="num" w:pos="540"/>
        </w:tabs>
        <w:suppressAutoHyphens w:val="0"/>
        <w:contextualSpacing/>
        <w:jc w:val="both"/>
        <w:rPr>
          <w:lang w:val="en-GB"/>
        </w:rPr>
      </w:pPr>
      <w:r w:rsidRPr="00D22581">
        <w:rPr>
          <w:lang w:val="en-GB"/>
        </w:rPr>
        <w:t xml:space="preserve">Concerning disclosure of </w:t>
      </w:r>
      <w:r w:rsidR="00320180">
        <w:rPr>
          <w:lang w:val="en-GB"/>
        </w:rPr>
        <w:t xml:space="preserve">the </w:t>
      </w:r>
      <w:r w:rsidRPr="00D22581">
        <w:rPr>
          <w:lang w:val="en-GB"/>
        </w:rPr>
        <w:t>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641D5D" w:rsidRDefault="00641D5D" w:rsidP="00CA6855">
      <w:pPr>
        <w:ind w:left="360"/>
        <w:jc w:val="both"/>
        <w:rPr>
          <w:color w:val="FF0000"/>
        </w:rPr>
      </w:pPr>
    </w:p>
    <w:p w:rsidR="00320180" w:rsidRPr="00B31CF4" w:rsidRDefault="00637E9B" w:rsidP="00F0555D">
      <w:pPr>
        <w:pStyle w:val="ListParagraph"/>
        <w:numPr>
          <w:ilvl w:val="0"/>
          <w:numId w:val="14"/>
        </w:numPr>
        <w:ind w:left="270" w:hanging="270"/>
        <w:jc w:val="both"/>
        <w:rPr>
          <w:i/>
          <w:lang w:val="en-GB"/>
        </w:rPr>
      </w:pPr>
      <w:r w:rsidRPr="00B31CF4">
        <w:rPr>
          <w:i/>
          <w:lang w:val="en-GB"/>
        </w:rPr>
        <w:t>Investigation into the abduction o</w:t>
      </w:r>
      <w:r w:rsidR="00320180" w:rsidRPr="00B31CF4">
        <w:rPr>
          <w:bCs/>
          <w:i/>
          <w:lang w:val="en-GB"/>
        </w:rPr>
        <w:t xml:space="preserve">f </w:t>
      </w:r>
      <w:r w:rsidR="00320180" w:rsidRPr="00B31CF4">
        <w:rPr>
          <w:i/>
        </w:rPr>
        <w:t>Mr Slobodan Mitrović (</w:t>
      </w:r>
      <w:r w:rsidR="00320180" w:rsidRPr="00B31CF4">
        <w:rPr>
          <w:i/>
          <w:lang w:val="en-GB"/>
        </w:rPr>
        <w:t>case no. 144/09)</w:t>
      </w:r>
      <w:r w:rsidRPr="00B31CF4">
        <w:rPr>
          <w:i/>
          <w:lang w:val="en-GB"/>
        </w:rPr>
        <w:t>, Mr Milovan Krstić (cases nos 158/09 and 209/09) and Mr Miodrag Krstić (case no. 210/09)</w:t>
      </w:r>
    </w:p>
    <w:p w:rsidR="00320180" w:rsidRDefault="00320180" w:rsidP="00320180">
      <w:pPr>
        <w:jc w:val="both"/>
        <w:rPr>
          <w:i/>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0" w:name="_Ref392511369"/>
      <w:r w:rsidRPr="00047CFD">
        <w:rPr>
          <w:lang w:val="en-GB"/>
        </w:rPr>
        <w:lastRenderedPageBreak/>
        <w:t>This part of the file starts with a</w:t>
      </w:r>
      <w:r>
        <w:rPr>
          <w:lang w:val="en-GB"/>
        </w:rPr>
        <w:t xml:space="preserve"> memorandum, d</w:t>
      </w:r>
      <w:r w:rsidRPr="00047CFD">
        <w:rPr>
          <w:lang w:val="en-GB"/>
        </w:rPr>
        <w:t xml:space="preserve">ated </w:t>
      </w:r>
      <w:r>
        <w:t xml:space="preserve">15 February 2000, by which the MPU requested the Serbian authorities to provide information on the disappearance of </w:t>
      </w:r>
      <w:r w:rsidRPr="006D65BD">
        <w:t>Mr Slobodan Mitrović</w:t>
      </w:r>
      <w:r>
        <w:t xml:space="preserve"> (MPU case no. 2000-001630), Mr Milovan Krstić (MPU case no. 2000-001631) and Mr Miodrag Krstić (MPU case no. 2000-001632).</w:t>
      </w:r>
      <w:bookmarkEnd w:id="20"/>
    </w:p>
    <w:p w:rsidR="0057275F" w:rsidRPr="0057275F" w:rsidRDefault="0057275F" w:rsidP="0057275F">
      <w:pPr>
        <w:pStyle w:val="ListParagraph"/>
        <w:suppressAutoHyphens w:val="0"/>
        <w:ind w:left="360"/>
        <w:contextualSpacing/>
        <w:jc w:val="both"/>
        <w:rPr>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1" w:name="_Ref392511372"/>
      <w:bookmarkStart w:id="22" w:name="_Ref392594454"/>
      <w:r>
        <w:t xml:space="preserve">In </w:t>
      </w:r>
      <w:r w:rsidR="00B31CF4">
        <w:t>its</w:t>
      </w:r>
      <w:r>
        <w:t xml:space="preserve"> response, dated 21 February 2001, the Manager of the Serbian Provincial Team for Liaison with KFOR</w:t>
      </w:r>
      <w:bookmarkEnd w:id="21"/>
      <w:r>
        <w:t xml:space="preserve"> had provided all available information on these three missing persons, </w:t>
      </w:r>
      <w:r w:rsidR="00DF2AEE">
        <w:t>including the circumstances of their abduction, and the main suspects, Mr F.L. and</w:t>
      </w:r>
      <w:r w:rsidR="00B31CF4">
        <w:t xml:space="preserve"> Mr</w:t>
      </w:r>
      <w:r w:rsidR="00DF2AEE">
        <w:t xml:space="preserve"> N.K. In the same letter, the </w:t>
      </w:r>
      <w:r w:rsidR="00B31CF4">
        <w:t>M</w:t>
      </w:r>
      <w:r w:rsidR="00DF2AEE">
        <w:t>anager had requested an update on the investigative steps undertaken by international authorities in relation to their abduction.</w:t>
      </w:r>
      <w:bookmarkEnd w:id="22"/>
    </w:p>
    <w:p w:rsidR="0057275F" w:rsidRPr="0057275F" w:rsidRDefault="0057275F" w:rsidP="0057275F">
      <w:pPr>
        <w:pStyle w:val="ListParagraph"/>
        <w:rPr>
          <w:lang w:val="en-GB"/>
        </w:rPr>
      </w:pPr>
    </w:p>
    <w:p w:rsidR="00E66CF5" w:rsidRPr="00D8407D" w:rsidRDefault="00E66CF5" w:rsidP="003D4233">
      <w:pPr>
        <w:pStyle w:val="ListParagraph"/>
        <w:numPr>
          <w:ilvl w:val="0"/>
          <w:numId w:val="2"/>
        </w:numPr>
        <w:tabs>
          <w:tab w:val="clear" w:pos="360"/>
          <w:tab w:val="num" w:pos="540"/>
        </w:tabs>
        <w:suppressAutoHyphens w:val="0"/>
        <w:contextualSpacing/>
        <w:jc w:val="both"/>
        <w:rPr>
          <w:lang w:val="en-GB"/>
        </w:rPr>
      </w:pPr>
      <w:r>
        <w:rPr>
          <w:lang w:val="en-GB"/>
        </w:rPr>
        <w:t xml:space="preserve">A </w:t>
      </w:r>
      <w:r w:rsidRPr="00D8407D">
        <w:rPr>
          <w:lang w:val="en-GB"/>
        </w:rPr>
        <w:t xml:space="preserve">one-page UNMIK Police MPU Case Continuation Report </w:t>
      </w:r>
      <w:r w:rsidR="00CE3030">
        <w:rPr>
          <w:lang w:val="en-GB"/>
        </w:rPr>
        <w:t xml:space="preserve">(CCR) </w:t>
      </w:r>
      <w:r w:rsidRPr="00D8407D">
        <w:rPr>
          <w:lang w:val="en-GB"/>
        </w:rPr>
        <w:t>on the case no. 200</w:t>
      </w:r>
      <w:r>
        <w:rPr>
          <w:lang w:val="en-GB"/>
        </w:rPr>
        <w:t>0</w:t>
      </w:r>
      <w:r w:rsidRPr="00D8407D">
        <w:rPr>
          <w:lang w:val="en-GB"/>
        </w:rPr>
        <w:t>-0</w:t>
      </w:r>
      <w:r>
        <w:rPr>
          <w:lang w:val="en-GB"/>
        </w:rPr>
        <w:t>01</w:t>
      </w:r>
      <w:r w:rsidRPr="00D8407D">
        <w:rPr>
          <w:lang w:val="en-GB"/>
        </w:rPr>
        <w:t>6</w:t>
      </w:r>
      <w:r>
        <w:rPr>
          <w:lang w:val="en-GB"/>
        </w:rPr>
        <w:t xml:space="preserve">31 indicates that </w:t>
      </w:r>
      <w:r w:rsidR="00B31CF4">
        <w:rPr>
          <w:lang w:val="en-GB"/>
        </w:rPr>
        <w:t xml:space="preserve">this case was entered in their database for </w:t>
      </w:r>
      <w:r>
        <w:rPr>
          <w:lang w:val="en-GB"/>
        </w:rPr>
        <w:t>the first time on 6 November 2000</w:t>
      </w:r>
      <w:r w:rsidR="00B31CF4">
        <w:rPr>
          <w:lang w:val="en-GB"/>
        </w:rPr>
        <w:t>,</w:t>
      </w:r>
      <w:r>
        <w:rPr>
          <w:lang w:val="en-GB"/>
        </w:rPr>
        <w:t xml:space="preserve"> </w:t>
      </w:r>
      <w:r w:rsidR="00B31CF4">
        <w:rPr>
          <w:lang w:val="en-GB"/>
        </w:rPr>
        <w:t xml:space="preserve">that </w:t>
      </w:r>
      <w:r>
        <w:rPr>
          <w:lang w:val="en-GB"/>
        </w:rPr>
        <w:t>on 15 March 2002, the MPU had received ante-mortem data from the ICRC</w:t>
      </w:r>
      <w:r w:rsidR="00B31CF4">
        <w:rPr>
          <w:lang w:val="en-GB"/>
        </w:rPr>
        <w:t>,</w:t>
      </w:r>
      <w:r>
        <w:rPr>
          <w:lang w:val="en-GB"/>
        </w:rPr>
        <w:t xml:space="preserve"> and that on 13 July 2002, a Disaster Victim Identification form was also received from the ICRC.</w:t>
      </w:r>
    </w:p>
    <w:p w:rsidR="00E66CF5" w:rsidRDefault="00E66CF5" w:rsidP="00E66CF5">
      <w:pPr>
        <w:pStyle w:val="ListParagraph"/>
        <w:suppressAutoHyphens w:val="0"/>
        <w:ind w:left="360"/>
        <w:contextualSpacing/>
        <w:jc w:val="both"/>
        <w:rPr>
          <w:lang w:val="en-GB"/>
        </w:rPr>
      </w:pPr>
    </w:p>
    <w:p w:rsidR="00DF2AEE" w:rsidRPr="00E66CF5" w:rsidRDefault="00DF2AEE" w:rsidP="003D4233">
      <w:pPr>
        <w:pStyle w:val="ListParagraph"/>
        <w:numPr>
          <w:ilvl w:val="0"/>
          <w:numId w:val="2"/>
        </w:numPr>
        <w:tabs>
          <w:tab w:val="clear" w:pos="360"/>
          <w:tab w:val="num" w:pos="540"/>
        </w:tabs>
        <w:suppressAutoHyphens w:val="0"/>
        <w:contextualSpacing/>
        <w:jc w:val="both"/>
        <w:rPr>
          <w:lang w:val="en-GB"/>
        </w:rPr>
      </w:pPr>
      <w:r>
        <w:rPr>
          <w:lang w:val="en-GB"/>
        </w:rPr>
        <w:t>A</w:t>
      </w:r>
      <w:r w:rsidR="00E66CF5">
        <w:rPr>
          <w:lang w:val="en-GB"/>
        </w:rPr>
        <w:t>nother</w:t>
      </w:r>
      <w:r>
        <w:rPr>
          <w:lang w:val="en-GB"/>
        </w:rPr>
        <w:t xml:space="preserve"> </w:t>
      </w:r>
      <w:r w:rsidRPr="00D8407D">
        <w:rPr>
          <w:lang w:val="en-GB"/>
        </w:rPr>
        <w:t>one-page</w:t>
      </w:r>
      <w:r>
        <w:rPr>
          <w:lang w:val="en-GB"/>
        </w:rPr>
        <w:t xml:space="preserve"> MPU </w:t>
      </w:r>
      <w:r w:rsidRPr="00D8407D">
        <w:rPr>
          <w:lang w:val="en-GB"/>
        </w:rPr>
        <w:t>CCR</w:t>
      </w:r>
      <w:r w:rsidR="00E66CF5">
        <w:rPr>
          <w:lang w:val="en-GB"/>
        </w:rPr>
        <w:t>,</w:t>
      </w:r>
      <w:r>
        <w:rPr>
          <w:lang w:val="en-GB"/>
        </w:rPr>
        <w:t xml:space="preserve"> in relation to the cases nos </w:t>
      </w:r>
      <w:r>
        <w:t>2000-001630, 2000-001631 and 2000-001632</w:t>
      </w:r>
      <w:r w:rsidR="00B31CF4">
        <w:t>,</w:t>
      </w:r>
      <w:r>
        <w:t xml:space="preserve"> has one entry, dated 8 March 2001, stating that during a meeting in Serbia proper the Serbian authorities had mentioned </w:t>
      </w:r>
      <w:r w:rsidR="007F6C64">
        <w:t xml:space="preserve">a </w:t>
      </w:r>
      <w:r w:rsidR="00B31CF4">
        <w:t xml:space="preserve">certain </w:t>
      </w:r>
      <w:r>
        <w:t xml:space="preserve">Mr V.P., who supposedly had information about </w:t>
      </w:r>
      <w:r w:rsidRPr="006D65BD">
        <w:t>Mr Slobodan Mitrović</w:t>
      </w:r>
      <w:r>
        <w:t xml:space="preserve">’s fate. A remark to this entry reads: “[i]t is not likely that the [witness] if he knows </w:t>
      </w:r>
      <w:proofErr w:type="gramStart"/>
      <w:r>
        <w:t>something,</w:t>
      </w:r>
      <w:proofErr w:type="gramEnd"/>
      <w:r>
        <w:t xml:space="preserve"> will speak. Maybe a confidential talk can help us to get some information about a burial site. Without further involving the witness in the case.”</w:t>
      </w:r>
      <w:r w:rsidR="008815F0">
        <w:t xml:space="preserve"> In the field “To Do” an investigator had planned to: “Locate this witness” and “Check his willingness to help.”</w:t>
      </w:r>
    </w:p>
    <w:p w:rsidR="00DF2AEE" w:rsidRPr="00DF2AEE" w:rsidRDefault="00DF2AEE" w:rsidP="00DF2AEE">
      <w:pPr>
        <w:pStyle w:val="ListParagraph"/>
        <w:rPr>
          <w:lang w:val="en-GB"/>
        </w:rPr>
      </w:pPr>
    </w:p>
    <w:p w:rsidR="00E57962" w:rsidRDefault="00DF2AEE"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further contains a </w:t>
      </w:r>
      <w:r w:rsidR="006D65BD" w:rsidRPr="00B83CDB">
        <w:rPr>
          <w:lang w:val="en-GB"/>
        </w:rPr>
        <w:t xml:space="preserve">Victim Identification Form for </w:t>
      </w:r>
      <w:r w:rsidR="006D65BD" w:rsidRPr="006D65BD">
        <w:t>Mr Slobodan Mitrović</w:t>
      </w:r>
      <w:r w:rsidR="006D65BD" w:rsidRPr="00B83CDB">
        <w:rPr>
          <w:lang w:val="en-GB"/>
        </w:rPr>
        <w:t xml:space="preserve">, apparently completed by the ICRC </w:t>
      </w:r>
      <w:r w:rsidR="006D65BD" w:rsidRPr="00B83CDB">
        <w:rPr>
          <w:bCs/>
          <w:lang w:val="en-GB"/>
        </w:rPr>
        <w:t xml:space="preserve">between 1 July and 20 September 2001 (see § </w:t>
      </w:r>
      <w:r w:rsidR="009F41BA" w:rsidRPr="00B83CDB">
        <w:rPr>
          <w:bCs/>
          <w:lang w:val="en-GB"/>
        </w:rPr>
        <w:fldChar w:fldCharType="begin"/>
      </w:r>
      <w:r w:rsidR="006D65BD" w:rsidRPr="00B83CDB">
        <w:rPr>
          <w:bCs/>
          <w:lang w:val="en-GB"/>
        </w:rPr>
        <w:instrText xml:space="preserve"> REF _Ref392170744 \r \h </w:instrText>
      </w:r>
      <w:r w:rsidR="009F41BA" w:rsidRPr="00B83CDB">
        <w:rPr>
          <w:bCs/>
          <w:lang w:val="en-GB"/>
        </w:rPr>
      </w:r>
      <w:r w:rsidR="009F41BA" w:rsidRPr="00B83CDB">
        <w:rPr>
          <w:bCs/>
          <w:lang w:val="en-GB"/>
        </w:rPr>
        <w:fldChar w:fldCharType="separate"/>
      </w:r>
      <w:r w:rsidR="009C2A5A">
        <w:rPr>
          <w:bCs/>
          <w:lang w:val="en-GB"/>
        </w:rPr>
        <w:t>44</w:t>
      </w:r>
      <w:r w:rsidR="009F41BA" w:rsidRPr="00B83CDB">
        <w:rPr>
          <w:bCs/>
          <w:lang w:val="en-GB"/>
        </w:rPr>
        <w:fldChar w:fldCharType="end"/>
      </w:r>
      <w:r w:rsidR="006D65BD" w:rsidRPr="00B83CDB">
        <w:rPr>
          <w:bCs/>
          <w:lang w:val="en-GB"/>
        </w:rPr>
        <w:t xml:space="preserve"> above)</w:t>
      </w:r>
      <w:r w:rsidR="006D65BD" w:rsidRPr="00B83CDB">
        <w:rPr>
          <w:lang w:val="en-GB"/>
        </w:rPr>
        <w:t xml:space="preserve">. Besides his personal details and ante-mortem description, it provides the name and complete contact details of his wife (the complainant, Mrs </w:t>
      </w:r>
      <w:r w:rsidR="006D65BD" w:rsidRPr="00B83CDB">
        <w:rPr>
          <w:bCs/>
          <w:lang w:val="en-GB"/>
        </w:rPr>
        <w:t>Ljliana Mitrović</w:t>
      </w:r>
      <w:r w:rsidR="006D65BD" w:rsidRPr="00B83CDB">
        <w:rPr>
          <w:lang w:val="en-GB"/>
        </w:rPr>
        <w:t>). A similar, also undated</w:t>
      </w:r>
      <w:r w:rsidR="00704BCA" w:rsidRPr="00B83CDB">
        <w:rPr>
          <w:lang w:val="en-GB"/>
        </w:rPr>
        <w:t>,</w:t>
      </w:r>
      <w:r w:rsidR="006D65BD" w:rsidRPr="00B83CDB">
        <w:rPr>
          <w:lang w:val="en-GB"/>
        </w:rPr>
        <w:t xml:space="preserve"> </w:t>
      </w:r>
      <w:r w:rsidR="00704BCA" w:rsidRPr="00B83CDB">
        <w:rPr>
          <w:lang w:val="en-GB"/>
        </w:rPr>
        <w:t>identification form</w:t>
      </w:r>
      <w:r w:rsidR="006D65BD" w:rsidRPr="00B83CDB">
        <w:rPr>
          <w:lang w:val="en-GB"/>
        </w:rPr>
        <w:t xml:space="preserve"> provides the name and contact details for his mother, Mrs T.M. This form also states, among other things, that </w:t>
      </w:r>
      <w:r w:rsidR="00B31CF4" w:rsidRPr="006D65BD">
        <w:t>Mr Slobodan Mitrović</w:t>
      </w:r>
      <w:r w:rsidR="00B31CF4">
        <w:t xml:space="preserve">’s </w:t>
      </w:r>
      <w:r w:rsidR="006D65BD" w:rsidRPr="00B83CDB">
        <w:rPr>
          <w:lang w:val="en-GB"/>
        </w:rPr>
        <w:t>ID card, which was with him when he was abducted, was later found “in Mališevo”.</w:t>
      </w:r>
      <w:r w:rsidR="00047CFD" w:rsidRPr="00B83CDB">
        <w:rPr>
          <w:lang w:val="en-GB"/>
        </w:rPr>
        <w:t xml:space="preserve"> H</w:t>
      </w:r>
      <w:r w:rsidR="006D65BD" w:rsidRPr="00B83CDB">
        <w:rPr>
          <w:lang w:val="en-GB"/>
        </w:rPr>
        <w:t>is photograph and a copy of marriage</w:t>
      </w:r>
      <w:r w:rsidR="00047CFD" w:rsidRPr="00B83CDB">
        <w:rPr>
          <w:lang w:val="en-GB"/>
        </w:rPr>
        <w:t xml:space="preserve"> certificate are attached to this form.</w:t>
      </w:r>
    </w:p>
    <w:p w:rsidR="00671A90" w:rsidRPr="00671A90" w:rsidRDefault="00671A90" w:rsidP="00671A90">
      <w:pPr>
        <w:pStyle w:val="ListParagraph"/>
        <w:ind w:firstLine="720"/>
        <w:rPr>
          <w:lang w:val="en-GB"/>
        </w:rPr>
      </w:pPr>
    </w:p>
    <w:p w:rsidR="00671A90" w:rsidRPr="00B83CDB" w:rsidRDefault="00671A90"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w:t>
      </w:r>
      <w:r>
        <w:rPr>
          <w:lang w:val="en-GB"/>
        </w:rPr>
        <w:t xml:space="preserve">also contains </w:t>
      </w:r>
      <w:r w:rsidR="00B31CF4">
        <w:rPr>
          <w:lang w:val="en-GB"/>
        </w:rPr>
        <w:t xml:space="preserve">a </w:t>
      </w:r>
      <w:r>
        <w:rPr>
          <w:lang w:val="en-GB"/>
        </w:rPr>
        <w:t xml:space="preserve">similar </w:t>
      </w:r>
      <w:r w:rsidRPr="00B83CDB">
        <w:rPr>
          <w:lang w:val="en-GB"/>
        </w:rPr>
        <w:t xml:space="preserve">Victim Identification Form for </w:t>
      </w:r>
      <w:r w:rsidRPr="006D65BD">
        <w:t xml:space="preserve">Mr </w:t>
      </w:r>
      <w:r>
        <w:t>Milovan Krsti</w:t>
      </w:r>
      <w:r w:rsidRPr="006D65BD">
        <w:t>ć</w:t>
      </w:r>
      <w:r w:rsidRPr="00B83CDB">
        <w:rPr>
          <w:lang w:val="en-GB"/>
        </w:rPr>
        <w:t>. Besides his personal details and ante-mortem description, it provides the name and complete contact detail</w:t>
      </w:r>
      <w:r>
        <w:rPr>
          <w:lang w:val="en-GB"/>
        </w:rPr>
        <w:t>s of his wife (</w:t>
      </w:r>
      <w:r w:rsidRPr="00B83CDB">
        <w:rPr>
          <w:lang w:val="en-GB"/>
        </w:rPr>
        <w:t xml:space="preserve">Mrs </w:t>
      </w:r>
      <w:r>
        <w:rPr>
          <w:lang w:val="en-GB"/>
        </w:rPr>
        <w:t>Danijela Krstić) and of his sister-in-law, Mrs J.K.</w:t>
      </w:r>
      <w:r w:rsidRPr="00B83CDB">
        <w:rPr>
          <w:lang w:val="en-GB"/>
        </w:rPr>
        <w:t xml:space="preserve"> </w:t>
      </w:r>
      <w:r>
        <w:rPr>
          <w:lang w:val="en-GB"/>
        </w:rPr>
        <w:t xml:space="preserve">Also in the file is another, </w:t>
      </w:r>
      <w:r w:rsidRPr="00B83CDB">
        <w:rPr>
          <w:lang w:val="en-GB"/>
        </w:rPr>
        <w:t xml:space="preserve">undated, identification form </w:t>
      </w:r>
      <w:r>
        <w:rPr>
          <w:lang w:val="en-GB"/>
        </w:rPr>
        <w:t>for him.</w:t>
      </w:r>
      <w:r w:rsidRPr="00B83CDB">
        <w:rPr>
          <w:lang w:val="en-GB"/>
        </w:rPr>
        <w:t xml:space="preserve"> </w:t>
      </w:r>
      <w:r>
        <w:rPr>
          <w:lang w:val="en-GB"/>
        </w:rPr>
        <w:t>Both forms state</w:t>
      </w:r>
      <w:r w:rsidRPr="00B83CDB">
        <w:rPr>
          <w:lang w:val="en-GB"/>
        </w:rPr>
        <w:t xml:space="preserve">, among other things, that ID card, which was with </w:t>
      </w:r>
      <w:r w:rsidR="00B31CF4" w:rsidRPr="006D65BD">
        <w:t xml:space="preserve">Mr </w:t>
      </w:r>
      <w:r w:rsidR="00B31CF4">
        <w:t>Milovan Krsti</w:t>
      </w:r>
      <w:r w:rsidR="00B31CF4" w:rsidRPr="006D65BD">
        <w:t>ć</w:t>
      </w:r>
      <w:r w:rsidR="00B31CF4" w:rsidRPr="00B83CDB">
        <w:rPr>
          <w:lang w:val="en-GB"/>
        </w:rPr>
        <w:t xml:space="preserve"> </w:t>
      </w:r>
      <w:r w:rsidRPr="00B83CDB">
        <w:rPr>
          <w:lang w:val="en-GB"/>
        </w:rPr>
        <w:t xml:space="preserve">when he was abducted, was later found “in Mališevo”. </w:t>
      </w:r>
      <w:r w:rsidR="00B31CF4" w:rsidRPr="006D65BD">
        <w:t xml:space="preserve">Mr </w:t>
      </w:r>
      <w:r w:rsidR="00B31CF4">
        <w:t>Milovan Krsti</w:t>
      </w:r>
      <w:r w:rsidR="00B31CF4" w:rsidRPr="006D65BD">
        <w:t>ć</w:t>
      </w:r>
      <w:r w:rsidR="00B31CF4">
        <w:t>’s</w:t>
      </w:r>
      <w:r w:rsidR="00B31CF4" w:rsidRPr="00B83CDB">
        <w:rPr>
          <w:lang w:val="en-GB"/>
        </w:rPr>
        <w:t xml:space="preserve"> </w:t>
      </w:r>
      <w:r w:rsidRPr="00B83CDB">
        <w:rPr>
          <w:lang w:val="en-GB"/>
        </w:rPr>
        <w:t>photograph and a copy of marriage certificate are attached to this form.</w:t>
      </w:r>
    </w:p>
    <w:p w:rsidR="006D7823" w:rsidRPr="006D7823" w:rsidRDefault="006D7823" w:rsidP="006D7823">
      <w:pPr>
        <w:pStyle w:val="ListParagraph"/>
        <w:rPr>
          <w:lang w:val="en-GB"/>
        </w:rPr>
      </w:pPr>
      <w:bookmarkStart w:id="23" w:name="_Ref375584433"/>
      <w:bookmarkStart w:id="24" w:name="_Ref375586146"/>
    </w:p>
    <w:p w:rsidR="00637E9B" w:rsidRDefault="00B31CF4" w:rsidP="003D4233">
      <w:pPr>
        <w:pStyle w:val="ListParagraph"/>
        <w:numPr>
          <w:ilvl w:val="0"/>
          <w:numId w:val="2"/>
        </w:numPr>
        <w:suppressAutoHyphens w:val="0"/>
        <w:contextualSpacing/>
        <w:jc w:val="both"/>
        <w:rPr>
          <w:lang w:val="en-GB"/>
        </w:rPr>
      </w:pPr>
      <w:r>
        <w:rPr>
          <w:lang w:val="en-GB"/>
        </w:rPr>
        <w:t xml:space="preserve">By </w:t>
      </w:r>
      <w:r w:rsidR="00637E9B">
        <w:rPr>
          <w:lang w:val="en-GB"/>
        </w:rPr>
        <w:t xml:space="preserve">a </w:t>
      </w:r>
      <w:r w:rsidR="00637E9B" w:rsidRPr="006D7823">
        <w:rPr>
          <w:lang w:val="en-GB"/>
        </w:rPr>
        <w:t>memorandum</w:t>
      </w:r>
      <w:r>
        <w:rPr>
          <w:lang w:val="en-GB"/>
        </w:rPr>
        <w:t>,</w:t>
      </w:r>
      <w:r w:rsidR="00637E9B" w:rsidRPr="006D7823">
        <w:rPr>
          <w:lang w:val="en-GB"/>
        </w:rPr>
        <w:t xml:space="preserve"> dated 10 July 2002</w:t>
      </w:r>
      <w:r w:rsidR="00637E9B">
        <w:rPr>
          <w:lang w:val="en-GB"/>
        </w:rPr>
        <w:t xml:space="preserve">, an MPU officer in Belgrade informed the Head of the MPU of his meeting with Mrs Slobodanka Krstić and Mr D.Ð., on 9 July 2002. Mrs Slobodanka Krstić had informed the MPU that two days after the abduction </w:t>
      </w:r>
      <w:r w:rsidR="00637E9B" w:rsidRPr="006D7823">
        <w:rPr>
          <w:bCs/>
          <w:lang w:val="en-GB"/>
        </w:rPr>
        <w:t xml:space="preserve">of </w:t>
      </w:r>
      <w:r w:rsidR="00637E9B" w:rsidRPr="006D7823">
        <w:t xml:space="preserve">Mr Slobodan Mitrović, Mr Milovan </w:t>
      </w:r>
      <w:r w:rsidR="00637E9B" w:rsidRPr="006D7823">
        <w:rPr>
          <w:bCs/>
        </w:rPr>
        <w:t>Krstić</w:t>
      </w:r>
      <w:r w:rsidR="00637E9B" w:rsidRPr="006D7823">
        <w:t xml:space="preserve"> </w:t>
      </w:r>
      <w:r w:rsidR="00637E9B">
        <w:t xml:space="preserve">and </w:t>
      </w:r>
      <w:r w:rsidR="00637E9B" w:rsidRPr="006D7823">
        <w:t xml:space="preserve">Mr </w:t>
      </w:r>
      <w:r w:rsidR="00637E9B" w:rsidRPr="006D7823">
        <w:rPr>
          <w:bCs/>
        </w:rPr>
        <w:t>Miodrag Krsti</w:t>
      </w:r>
      <w:r w:rsidR="00637E9B" w:rsidRPr="006D7823">
        <w:rPr>
          <w:bCs/>
          <w:lang w:val="sr-Latn-CS"/>
        </w:rPr>
        <w:t>ć</w:t>
      </w:r>
      <w:r w:rsidR="00637E9B">
        <w:rPr>
          <w:bCs/>
          <w:lang w:val="sr-Latn-CS"/>
        </w:rPr>
        <w:t>,</w:t>
      </w:r>
      <w:r w:rsidR="00637E9B" w:rsidRPr="006D7823">
        <w:rPr>
          <w:lang w:val="en-GB"/>
        </w:rPr>
        <w:t xml:space="preserve"> a Kosovo Al</w:t>
      </w:r>
      <w:r w:rsidR="00637E9B">
        <w:rPr>
          <w:lang w:val="en-GB"/>
        </w:rPr>
        <w:t xml:space="preserve">banian neighbour of theirs, </w:t>
      </w:r>
      <w:r w:rsidR="00637E9B">
        <w:rPr>
          <w:lang w:val="en-GB"/>
        </w:rPr>
        <w:lastRenderedPageBreak/>
        <w:t xml:space="preserve">Mr D., came to their family house and told her that all three </w:t>
      </w:r>
      <w:r>
        <w:rPr>
          <w:lang w:val="en-GB"/>
        </w:rPr>
        <w:t>we</w:t>
      </w:r>
      <w:r w:rsidR="00637E9B">
        <w:rPr>
          <w:lang w:val="en-GB"/>
        </w:rPr>
        <w:t>re alive and that they would be released in 3 days. This person cam</w:t>
      </w:r>
      <w:r>
        <w:rPr>
          <w:lang w:val="en-GB"/>
        </w:rPr>
        <w:t>e</w:t>
      </w:r>
      <w:r w:rsidR="00637E9B">
        <w:rPr>
          <w:lang w:val="en-GB"/>
        </w:rPr>
        <w:t xml:space="preserve"> a few times </w:t>
      </w:r>
      <w:r>
        <w:rPr>
          <w:lang w:val="en-GB"/>
        </w:rPr>
        <w:t>more</w:t>
      </w:r>
      <w:r w:rsidR="00637E9B">
        <w:rPr>
          <w:lang w:val="en-GB"/>
        </w:rPr>
        <w:t xml:space="preserve">, assuring the family that the </w:t>
      </w:r>
      <w:r w:rsidR="00DA502E">
        <w:rPr>
          <w:lang w:val="en-GB"/>
        </w:rPr>
        <w:t>abducted</w:t>
      </w:r>
      <w:r w:rsidR="00637E9B">
        <w:rPr>
          <w:lang w:val="en-GB"/>
        </w:rPr>
        <w:t xml:space="preserve"> persons were alive and that he was trying to help. According to Mrs Krstić, this Mr </w:t>
      </w:r>
      <w:r w:rsidR="00DA502E">
        <w:rPr>
          <w:lang w:val="en-GB"/>
        </w:rPr>
        <w:t>D</w:t>
      </w:r>
      <w:r w:rsidR="00637E9B">
        <w:rPr>
          <w:lang w:val="en-GB"/>
        </w:rPr>
        <w:t>. was relatively easily to be located.</w:t>
      </w:r>
    </w:p>
    <w:p w:rsidR="00637E9B" w:rsidRDefault="00637E9B" w:rsidP="00637E9B">
      <w:pPr>
        <w:pStyle w:val="ListParagraph"/>
        <w:suppressAutoHyphens w:val="0"/>
        <w:ind w:left="360"/>
        <w:contextualSpacing/>
        <w:jc w:val="both"/>
        <w:rPr>
          <w:lang w:val="en-GB"/>
        </w:rPr>
      </w:pPr>
    </w:p>
    <w:p w:rsidR="00637E9B" w:rsidRPr="008F02A1" w:rsidRDefault="00637E9B" w:rsidP="003D4233">
      <w:pPr>
        <w:pStyle w:val="ListParagraph"/>
        <w:numPr>
          <w:ilvl w:val="0"/>
          <w:numId w:val="2"/>
        </w:numPr>
        <w:suppressAutoHyphens w:val="0"/>
        <w:contextualSpacing/>
        <w:jc w:val="both"/>
        <w:rPr>
          <w:color w:val="FF0000"/>
        </w:rPr>
      </w:pPr>
      <w:r w:rsidRPr="008F02A1">
        <w:rPr>
          <w:lang w:val="en-GB"/>
        </w:rPr>
        <w:t>The memorandum continues that approximately three month</w:t>
      </w:r>
      <w:r w:rsidR="00B31CF4">
        <w:rPr>
          <w:lang w:val="en-GB"/>
        </w:rPr>
        <w:t>s more</w:t>
      </w:r>
      <w:r w:rsidRPr="008F02A1">
        <w:rPr>
          <w:lang w:val="en-GB"/>
        </w:rPr>
        <w:t xml:space="preserve"> after the abduction, a Kosovo Albanian woman, Ms B., approached Mrs Krstić and provided some more information about her sons. Ms B. also promised to put Mrs Krstić in contact with some KLA people, who co</w:t>
      </w:r>
      <w:r w:rsidR="00B31CF4">
        <w:rPr>
          <w:lang w:val="en-GB"/>
        </w:rPr>
        <w:t>u</w:t>
      </w:r>
      <w:r w:rsidRPr="008F02A1">
        <w:rPr>
          <w:lang w:val="en-GB"/>
        </w:rPr>
        <w:t>ld at least arrange for her to spe</w:t>
      </w:r>
      <w:r w:rsidR="00B31CF4">
        <w:rPr>
          <w:lang w:val="en-GB"/>
        </w:rPr>
        <w:t>a</w:t>
      </w:r>
      <w:r w:rsidRPr="008F02A1">
        <w:rPr>
          <w:lang w:val="en-GB"/>
        </w:rPr>
        <w:t xml:space="preserve">k on the phone to her sons. She added that Mrs Krstić’s sons </w:t>
      </w:r>
      <w:r w:rsidR="00B31CF4">
        <w:rPr>
          <w:lang w:val="en-GB"/>
        </w:rPr>
        <w:t>had been</w:t>
      </w:r>
      <w:r w:rsidRPr="008F02A1">
        <w:rPr>
          <w:lang w:val="en-GB"/>
        </w:rPr>
        <w:t xml:space="preserve"> taken </w:t>
      </w:r>
      <w:r w:rsidR="00B31CF4">
        <w:rPr>
          <w:lang w:val="en-GB"/>
        </w:rPr>
        <w:t>“</w:t>
      </w:r>
      <w:r w:rsidRPr="008F02A1">
        <w:rPr>
          <w:lang w:val="en-GB"/>
        </w:rPr>
        <w:t>to Mališevo</w:t>
      </w:r>
      <w:r w:rsidR="00B31CF4">
        <w:rPr>
          <w:lang w:val="en-GB"/>
        </w:rPr>
        <w:t>”</w:t>
      </w:r>
      <w:r w:rsidRPr="008F02A1">
        <w:rPr>
          <w:lang w:val="en-GB"/>
        </w:rPr>
        <w:t>. The next day, Mrs Krstić met</w:t>
      </w:r>
      <w:r>
        <w:rPr>
          <w:lang w:val="en-GB"/>
        </w:rPr>
        <w:t xml:space="preserve"> two Kosovo Albanians, Mr C. and Mr D., who told her that her sons, as well as </w:t>
      </w:r>
      <w:r w:rsidRPr="006D7823">
        <w:t>Mr Slobodan Mitrović,</w:t>
      </w:r>
      <w:r>
        <w:rPr>
          <w:lang w:val="en-GB"/>
        </w:rPr>
        <w:t xml:space="preserve"> were alive, but they </w:t>
      </w:r>
      <w:r w:rsidR="008F4B86">
        <w:rPr>
          <w:lang w:val="en-GB"/>
        </w:rPr>
        <w:t>were not</w:t>
      </w:r>
      <w:r>
        <w:rPr>
          <w:lang w:val="en-GB"/>
        </w:rPr>
        <w:t xml:space="preserve"> allow</w:t>
      </w:r>
      <w:r w:rsidR="008F4B86">
        <w:rPr>
          <w:lang w:val="en-GB"/>
        </w:rPr>
        <w:t>ed</w:t>
      </w:r>
      <w:r>
        <w:rPr>
          <w:lang w:val="en-GB"/>
        </w:rPr>
        <w:t xml:space="preserve"> a phone conversation. Mrs Krstić also informed the investigator of </w:t>
      </w:r>
      <w:r w:rsidR="008F4B86">
        <w:rPr>
          <w:lang w:val="en-GB"/>
        </w:rPr>
        <w:t xml:space="preserve">a </w:t>
      </w:r>
      <w:r>
        <w:rPr>
          <w:lang w:val="en-GB"/>
        </w:rPr>
        <w:t>certain Mr E., who had additional details about the abduction.</w:t>
      </w:r>
    </w:p>
    <w:p w:rsidR="00637E9B" w:rsidRPr="008F02A1" w:rsidRDefault="00637E9B" w:rsidP="00637E9B">
      <w:pPr>
        <w:pStyle w:val="ListParagraph"/>
        <w:rPr>
          <w:color w:val="FF0000"/>
        </w:rPr>
      </w:pPr>
    </w:p>
    <w:p w:rsidR="00637E9B" w:rsidRPr="008D4228" w:rsidRDefault="00637E9B" w:rsidP="003D4233">
      <w:pPr>
        <w:pStyle w:val="ListParagraph"/>
        <w:numPr>
          <w:ilvl w:val="0"/>
          <w:numId w:val="2"/>
        </w:numPr>
        <w:suppressAutoHyphens w:val="0"/>
        <w:contextualSpacing/>
        <w:jc w:val="both"/>
        <w:rPr>
          <w:lang w:val="en-GB"/>
        </w:rPr>
      </w:pPr>
      <w:r w:rsidRPr="008F02A1">
        <w:t xml:space="preserve">Finally, that memorandum </w:t>
      </w:r>
      <w:r>
        <w:t>states that at some point a relative of the abducted persons, Mr D.K</w:t>
      </w:r>
      <w:proofErr w:type="gramStart"/>
      <w:r>
        <w:t>.,</w:t>
      </w:r>
      <w:proofErr w:type="gramEnd"/>
      <w:r>
        <w:t xml:space="preserve"> had seen Mr Milovan Krstić in </w:t>
      </w:r>
      <w:r w:rsidR="008F4B86">
        <w:t xml:space="preserve">a </w:t>
      </w:r>
      <w:r>
        <w:t xml:space="preserve">KLA uniform, in </w:t>
      </w:r>
      <w:r w:rsidR="008F4B86">
        <w:t>a</w:t>
      </w:r>
      <w:r>
        <w:t xml:space="preserve"> TV broadcast in Germany.</w:t>
      </w:r>
      <w:r w:rsidR="00671A90">
        <w:t xml:space="preserve"> Attached to the memorandum are photographs of </w:t>
      </w:r>
      <w:r w:rsidR="00671A90" w:rsidRPr="006D7823">
        <w:t xml:space="preserve">Mr Milovan </w:t>
      </w:r>
      <w:r w:rsidR="00671A90" w:rsidRPr="00671A90">
        <w:rPr>
          <w:bCs/>
        </w:rPr>
        <w:t>Krstić</w:t>
      </w:r>
      <w:r w:rsidR="00671A90" w:rsidRPr="006D7823">
        <w:t xml:space="preserve"> </w:t>
      </w:r>
      <w:r w:rsidR="00671A90">
        <w:t xml:space="preserve">and </w:t>
      </w:r>
      <w:r w:rsidR="00671A90" w:rsidRPr="006D7823">
        <w:t xml:space="preserve">Mr </w:t>
      </w:r>
      <w:r w:rsidR="00671A90" w:rsidRPr="00671A90">
        <w:rPr>
          <w:bCs/>
        </w:rPr>
        <w:t>Miodrag Krsti</w:t>
      </w:r>
      <w:r w:rsidR="00671A90" w:rsidRPr="00671A90">
        <w:rPr>
          <w:bCs/>
          <w:lang w:val="sr-Latn-CS"/>
        </w:rPr>
        <w:t>ć</w:t>
      </w:r>
      <w:r w:rsidR="00671A90">
        <w:rPr>
          <w:bCs/>
          <w:lang w:val="sr-Latn-CS"/>
        </w:rPr>
        <w:t>.</w:t>
      </w:r>
    </w:p>
    <w:p w:rsidR="008D4228" w:rsidRPr="008D4228" w:rsidRDefault="008D4228" w:rsidP="008D4228">
      <w:pPr>
        <w:pStyle w:val="ListParagraph"/>
        <w:rPr>
          <w:lang w:val="en-GB"/>
        </w:rPr>
      </w:pPr>
    </w:p>
    <w:p w:rsidR="00E57962" w:rsidRPr="00320180" w:rsidRDefault="00E57962" w:rsidP="003D4233">
      <w:pPr>
        <w:pStyle w:val="ListParagraph"/>
        <w:numPr>
          <w:ilvl w:val="0"/>
          <w:numId w:val="2"/>
        </w:numPr>
        <w:suppressAutoHyphens w:val="0"/>
        <w:contextualSpacing/>
        <w:jc w:val="both"/>
        <w:rPr>
          <w:color w:val="0070C0"/>
          <w:lang w:val="en-GB"/>
        </w:rPr>
      </w:pPr>
      <w:r w:rsidRPr="00510BAF">
        <w:rPr>
          <w:lang w:val="en-GB"/>
        </w:rPr>
        <w:t>A printout from the MPU database in relation to the case no. 0435/INV/05, dated 26 November 2004, briefly states that Mr</w:t>
      </w:r>
      <w:r w:rsidRPr="00510BAF">
        <w:t xml:space="preserve"> Slobodan Mitrović</w:t>
      </w:r>
      <w:r w:rsidRPr="00510BAF">
        <w:rPr>
          <w:lang w:val="en-GB"/>
        </w:rPr>
        <w:t xml:space="preserve"> </w:t>
      </w:r>
      <w:r w:rsidRPr="00510BAF">
        <w:t xml:space="preserve">was “[k]idnapped with Krstic Milovan and Krstic </w:t>
      </w:r>
      <w:r w:rsidRPr="00510BAF">
        <w:rPr>
          <w:bCs/>
        </w:rPr>
        <w:t>Miodrag, between 15.00-16.00 … with the car brand GOLF type 3, dark blue color between Stimlje-Suva Reka by UCK</w:t>
      </w:r>
      <w:r>
        <w:rPr>
          <w:bCs/>
        </w:rPr>
        <w:t xml:space="preserve"> members [</w:t>
      </w:r>
      <w:r w:rsidR="0057275F">
        <w:rPr>
          <w:bCs/>
        </w:rPr>
        <w:t>F.</w:t>
      </w:r>
      <w:r>
        <w:rPr>
          <w:bCs/>
        </w:rPr>
        <w:t>L.] and [K.]</w:t>
      </w:r>
      <w:r w:rsidR="008F4B86">
        <w:rPr>
          <w:bCs/>
        </w:rPr>
        <w:t>.”</w:t>
      </w:r>
    </w:p>
    <w:bookmarkEnd w:id="23"/>
    <w:bookmarkEnd w:id="24"/>
    <w:p w:rsidR="00E57962" w:rsidRPr="00510BAF" w:rsidRDefault="00E57962" w:rsidP="00E57962">
      <w:pPr>
        <w:pStyle w:val="ListParagraph"/>
        <w:suppressAutoHyphens w:val="0"/>
        <w:ind w:left="360"/>
        <w:contextualSpacing/>
        <w:jc w:val="both"/>
        <w:rPr>
          <w:lang w:val="en-GB"/>
        </w:rPr>
      </w:pPr>
    </w:p>
    <w:p w:rsidR="00047CFD" w:rsidRPr="00047CFD" w:rsidRDefault="00047CFD" w:rsidP="003D4233">
      <w:pPr>
        <w:pStyle w:val="ListParagraph"/>
        <w:numPr>
          <w:ilvl w:val="0"/>
          <w:numId w:val="2"/>
        </w:numPr>
        <w:tabs>
          <w:tab w:val="clear" w:pos="360"/>
          <w:tab w:val="num" w:pos="540"/>
        </w:tabs>
        <w:suppressAutoHyphens w:val="0"/>
        <w:contextualSpacing/>
        <w:jc w:val="both"/>
        <w:rPr>
          <w:lang w:val="en-GB"/>
        </w:rPr>
      </w:pPr>
      <w:r w:rsidRPr="00510BAF">
        <w:rPr>
          <w:lang w:val="en-GB"/>
        </w:rPr>
        <w:t>The file further</w:t>
      </w:r>
      <w:r>
        <w:rPr>
          <w:lang w:val="en-GB"/>
        </w:rPr>
        <w:t xml:space="preserve"> contains an MPU Victim Identification Form, dated 8 December 2004, briefly repeating </w:t>
      </w:r>
      <w:r w:rsidRPr="006D65BD">
        <w:t>Mr Slobodan Mitrović</w:t>
      </w:r>
      <w:r>
        <w:t xml:space="preserve">’s </w:t>
      </w:r>
      <w:r w:rsidR="00704BCA">
        <w:t xml:space="preserve">identification </w:t>
      </w:r>
      <w:r>
        <w:t>details.</w:t>
      </w:r>
    </w:p>
    <w:p w:rsidR="00047CFD" w:rsidRPr="00047CFD" w:rsidRDefault="00047CFD" w:rsidP="00047CFD">
      <w:pPr>
        <w:pStyle w:val="ListParagraph"/>
        <w:rPr>
          <w:lang w:val="en-GB"/>
        </w:rPr>
      </w:pPr>
    </w:p>
    <w:p w:rsidR="0057275F" w:rsidRPr="0057275F" w:rsidRDefault="00047CFD" w:rsidP="003D4233">
      <w:pPr>
        <w:pStyle w:val="ListParagraph"/>
        <w:numPr>
          <w:ilvl w:val="0"/>
          <w:numId w:val="2"/>
        </w:numPr>
        <w:suppressAutoHyphens w:val="0"/>
        <w:contextualSpacing/>
        <w:jc w:val="both"/>
        <w:rPr>
          <w:lang w:val="en-GB"/>
        </w:rPr>
      </w:pPr>
      <w:r w:rsidRPr="00E9209B">
        <w:rPr>
          <w:lang w:val="en-GB"/>
        </w:rPr>
        <w:t xml:space="preserve">An MPU Ante-Mortem Investigation Report on the MPU case no. 0435/INV/05 in relation to the disappearance of </w:t>
      </w:r>
      <w:r w:rsidRPr="006D65BD">
        <w:t>Mr Slobodan Mitrović</w:t>
      </w:r>
      <w:r>
        <w:t xml:space="preserve"> is </w:t>
      </w:r>
      <w:r w:rsidRPr="00E9209B">
        <w:rPr>
          <w:lang w:val="en-GB"/>
        </w:rPr>
        <w:t>cross-referenced to the investigation no. 2000-001631. This report was initiated on 9 December 2004 and completed on 24 December 2004.</w:t>
      </w:r>
      <w:r w:rsidR="00510BAF" w:rsidRPr="00E9209B">
        <w:rPr>
          <w:lang w:val="en-GB"/>
        </w:rPr>
        <w:t xml:space="preserve"> </w:t>
      </w:r>
      <w:r w:rsidRPr="00E9209B">
        <w:rPr>
          <w:lang w:val="en-GB"/>
        </w:rPr>
        <w:t>This report’s field “Background of the Case” provides very brief information on the disappearance of</w:t>
      </w:r>
      <w:r w:rsidR="00704BCA" w:rsidRPr="00E9209B">
        <w:rPr>
          <w:lang w:val="en-GB"/>
        </w:rPr>
        <w:t xml:space="preserve"> </w:t>
      </w:r>
      <w:r w:rsidR="00704BCA" w:rsidRPr="006D65BD">
        <w:t>Mr Slobodan Mitrović</w:t>
      </w:r>
      <w:r w:rsidR="00510BAF">
        <w:t xml:space="preserve">. The field “Further Investigation” mentions that </w:t>
      </w:r>
      <w:r w:rsidR="0057275F">
        <w:t>the above exchange of letters between the MPU and the Serbian Team for Liaison with KFOR (</w:t>
      </w:r>
      <w:r w:rsidR="0057275F" w:rsidRPr="009C2A5A">
        <w:t xml:space="preserve">see §§ </w:t>
      </w:r>
      <w:r w:rsidR="009C2A5A" w:rsidRPr="009C2A5A">
        <w:fldChar w:fldCharType="begin"/>
      </w:r>
      <w:r w:rsidR="009C2A5A" w:rsidRPr="009C2A5A">
        <w:instrText xml:space="preserve"> REF _Ref392511369 \r \h  \* MERGEFORMAT </w:instrText>
      </w:r>
      <w:r w:rsidR="009C2A5A" w:rsidRPr="009C2A5A">
        <w:fldChar w:fldCharType="separate"/>
      </w:r>
      <w:r w:rsidR="009C2A5A">
        <w:t>68</w:t>
      </w:r>
      <w:r w:rsidR="009C2A5A" w:rsidRPr="009C2A5A">
        <w:fldChar w:fldCharType="end"/>
      </w:r>
      <w:r w:rsidR="007B4FDA" w:rsidRPr="009C2A5A">
        <w:t xml:space="preserve"> </w:t>
      </w:r>
      <w:r w:rsidR="0057275F" w:rsidRPr="009C2A5A">
        <w:t>-</w:t>
      </w:r>
      <w:r w:rsidR="007B4FDA" w:rsidRPr="009C2A5A">
        <w:t xml:space="preserve"> </w:t>
      </w:r>
      <w:r w:rsidR="009C2A5A" w:rsidRPr="009C2A5A">
        <w:fldChar w:fldCharType="begin"/>
      </w:r>
      <w:r w:rsidR="009C2A5A" w:rsidRPr="009C2A5A">
        <w:instrText xml:space="preserve"> REF _Ref392511372 \r \h  \* MERGEFORMAT </w:instrText>
      </w:r>
      <w:r w:rsidR="009C2A5A" w:rsidRPr="009C2A5A">
        <w:fldChar w:fldCharType="separate"/>
      </w:r>
      <w:r w:rsidR="009C2A5A">
        <w:t>69</w:t>
      </w:r>
      <w:r w:rsidR="009C2A5A" w:rsidRPr="009C2A5A">
        <w:fldChar w:fldCharType="end"/>
      </w:r>
      <w:r w:rsidR="00775AC3" w:rsidRPr="009C2A5A">
        <w:t xml:space="preserve"> </w:t>
      </w:r>
      <w:r w:rsidR="0057275F" w:rsidRPr="009C2A5A">
        <w:t>above)</w:t>
      </w:r>
      <w:r w:rsidR="0057275F">
        <w:t xml:space="preserve"> </w:t>
      </w:r>
    </w:p>
    <w:p w:rsidR="0057275F" w:rsidRDefault="0057275F" w:rsidP="0057275F">
      <w:pPr>
        <w:pStyle w:val="ListParagraph"/>
      </w:pPr>
    </w:p>
    <w:p w:rsidR="00047CFD" w:rsidRPr="00E9209B" w:rsidRDefault="00E9209B" w:rsidP="003D4233">
      <w:pPr>
        <w:pStyle w:val="ListParagraph"/>
        <w:numPr>
          <w:ilvl w:val="0"/>
          <w:numId w:val="2"/>
        </w:numPr>
        <w:suppressAutoHyphens w:val="0"/>
        <w:contextualSpacing/>
        <w:jc w:val="both"/>
        <w:rPr>
          <w:lang w:val="en-GB"/>
        </w:rPr>
      </w:pPr>
      <w:r>
        <w:t xml:space="preserve">Further, it states that the Head of the MPU </w:t>
      </w:r>
      <w:r w:rsidR="008F4B86">
        <w:t xml:space="preserve">had </w:t>
      </w:r>
      <w:r>
        <w:t>mentioned in a report (not found in the file) that</w:t>
      </w:r>
      <w:r w:rsidR="00DA502E">
        <w:t xml:space="preserve"> a person -</w:t>
      </w:r>
      <w:r>
        <w:t xml:space="preserve"> Mr V.P. was supposed to be in possession of information regarding the fate of Mr </w:t>
      </w:r>
      <w:r w:rsidRPr="006D65BD">
        <w:t>Slobodan Mitrović</w:t>
      </w:r>
      <w:r>
        <w:t xml:space="preserve">, but that </w:t>
      </w:r>
      <w:r w:rsidR="008F4B86">
        <w:t xml:space="preserve">the </w:t>
      </w:r>
      <w:r>
        <w:t xml:space="preserve">potential witness had not been interviewed. This part of the report ends as follows: “The undersigned while investigating the case tried to contact the next-to-kin of [Mr </w:t>
      </w:r>
      <w:r w:rsidRPr="006D65BD">
        <w:t>Slobodan Mitrović</w:t>
      </w:r>
      <w:r>
        <w:t xml:space="preserve">]. But it was not possible. Nobody is answering to the phone number mentioned in the DVI form.”  </w:t>
      </w:r>
    </w:p>
    <w:p w:rsidR="00E9209B" w:rsidRPr="00E9209B" w:rsidRDefault="00E9209B" w:rsidP="00E9209B">
      <w:pPr>
        <w:pStyle w:val="ListParagraph"/>
        <w:rPr>
          <w:lang w:val="en-GB"/>
        </w:rPr>
      </w:pPr>
    </w:p>
    <w:p w:rsidR="00047CFD" w:rsidRDefault="00047CFD" w:rsidP="003D4233">
      <w:pPr>
        <w:pStyle w:val="ListParagraph"/>
        <w:numPr>
          <w:ilvl w:val="0"/>
          <w:numId w:val="2"/>
        </w:numPr>
        <w:suppressAutoHyphens w:val="0"/>
        <w:contextualSpacing/>
        <w:jc w:val="both"/>
        <w:rPr>
          <w:lang w:val="en-GB"/>
        </w:rPr>
      </w:pPr>
      <w:bookmarkStart w:id="25" w:name="_Ref378862956"/>
      <w:r w:rsidRPr="00D8407D">
        <w:rPr>
          <w:lang w:val="en-GB"/>
        </w:rPr>
        <w:t xml:space="preserve">The report’s field “Witness Interviewed” reads “No witness </w:t>
      </w:r>
      <w:r w:rsidR="00E9209B">
        <w:rPr>
          <w:lang w:val="en-GB"/>
        </w:rPr>
        <w:t xml:space="preserve">available at the moment to be interviewed.” </w:t>
      </w:r>
      <w:r w:rsidRPr="00D8407D">
        <w:rPr>
          <w:lang w:val="en-GB"/>
        </w:rPr>
        <w:t>At the conclusion of this report, the investigator wrote: “</w:t>
      </w:r>
      <w:r w:rsidR="00E9209B">
        <w:rPr>
          <w:lang w:val="en-GB"/>
        </w:rPr>
        <w:t xml:space="preserve">After investigations, </w:t>
      </w:r>
      <w:proofErr w:type="gramStart"/>
      <w:r w:rsidR="00E9209B">
        <w:rPr>
          <w:lang w:val="en-GB"/>
        </w:rPr>
        <w:t>its</w:t>
      </w:r>
      <w:proofErr w:type="gramEnd"/>
      <w:r w:rsidR="00E9209B">
        <w:rPr>
          <w:lang w:val="en-GB"/>
        </w:rPr>
        <w:t xml:space="preserve"> impossible at this time to find an impartial witness. No information leading to a possible MP’s location. This </w:t>
      </w:r>
      <w:r w:rsidRPr="00D8407D">
        <w:rPr>
          <w:lang w:val="en-GB"/>
        </w:rPr>
        <w:t xml:space="preserve">case should remain open </w:t>
      </w:r>
      <w:r w:rsidR="00E9209B" w:rsidRPr="00775AC3">
        <w:rPr>
          <w:lang w:val="en-GB"/>
        </w:rPr>
        <w:t>pending</w:t>
      </w:r>
      <w:r w:rsidR="00E9209B">
        <w:rPr>
          <w:lang w:val="en-GB"/>
        </w:rPr>
        <w:t xml:space="preserve"> </w:t>
      </w:r>
      <w:r w:rsidRPr="00D8407D">
        <w:rPr>
          <w:lang w:val="en-GB"/>
        </w:rPr>
        <w:t>with</w:t>
      </w:r>
      <w:r w:rsidR="00E9209B">
        <w:rPr>
          <w:lang w:val="en-GB"/>
        </w:rPr>
        <w:t>in</w:t>
      </w:r>
      <w:r w:rsidRPr="00D8407D">
        <w:rPr>
          <w:lang w:val="en-GB"/>
        </w:rPr>
        <w:t xml:space="preserve"> the WCU.” The status of the case is put as “</w:t>
      </w:r>
      <w:r w:rsidR="00A60D25">
        <w:rPr>
          <w:lang w:val="en-GB"/>
        </w:rPr>
        <w:t>pending</w:t>
      </w:r>
      <w:r w:rsidR="00E9209B">
        <w:rPr>
          <w:lang w:val="en-GB"/>
        </w:rPr>
        <w:t>.</w:t>
      </w:r>
      <w:r w:rsidRPr="00D8407D">
        <w:rPr>
          <w:lang w:val="en-GB"/>
        </w:rPr>
        <w:t>”</w:t>
      </w:r>
      <w:bookmarkEnd w:id="25"/>
    </w:p>
    <w:p w:rsidR="00296753" w:rsidRPr="00296753" w:rsidRDefault="00296753" w:rsidP="00296753">
      <w:pPr>
        <w:pStyle w:val="ListParagraph"/>
        <w:rPr>
          <w:lang w:val="en-GB"/>
        </w:rPr>
      </w:pPr>
    </w:p>
    <w:p w:rsidR="00296753" w:rsidRPr="00296753" w:rsidRDefault="00296753" w:rsidP="003D4233">
      <w:pPr>
        <w:pStyle w:val="ListParagraph"/>
        <w:numPr>
          <w:ilvl w:val="0"/>
          <w:numId w:val="2"/>
        </w:numPr>
        <w:suppressAutoHyphens w:val="0"/>
        <w:contextualSpacing/>
        <w:jc w:val="both"/>
        <w:rPr>
          <w:color w:val="000000" w:themeColor="text1"/>
          <w:lang w:val="en-GB"/>
        </w:rPr>
      </w:pPr>
      <w:bookmarkStart w:id="26" w:name="_Ref378862988"/>
      <w:r w:rsidRPr="00296753">
        <w:rPr>
          <w:color w:val="000000" w:themeColor="text1"/>
          <w:lang w:val="en-GB"/>
        </w:rPr>
        <w:t>Another printout from the MPU database, generated on 25 December 2005, in the field “Invest. Notes” states: “See inv report.” This report’s field “Results” reads “Pending.”</w:t>
      </w:r>
      <w:bookmarkEnd w:id="26"/>
    </w:p>
    <w:p w:rsidR="008F02A1" w:rsidRDefault="008F02A1" w:rsidP="00CA6855">
      <w:pPr>
        <w:ind w:left="360"/>
        <w:jc w:val="both"/>
        <w:rPr>
          <w:color w:val="FF0000"/>
        </w:rPr>
      </w:pPr>
    </w:p>
    <w:p w:rsidR="00CA6855" w:rsidRPr="00714775" w:rsidRDefault="00320180" w:rsidP="00F0555D">
      <w:pPr>
        <w:pStyle w:val="ListParagraph"/>
        <w:numPr>
          <w:ilvl w:val="0"/>
          <w:numId w:val="14"/>
        </w:numPr>
        <w:ind w:left="270" w:hanging="270"/>
        <w:jc w:val="both"/>
        <w:rPr>
          <w:i/>
          <w:lang w:val="en-GB"/>
        </w:rPr>
      </w:pPr>
      <w:r w:rsidRPr="00714775">
        <w:rPr>
          <w:i/>
          <w:lang w:val="en-GB"/>
        </w:rPr>
        <w:t>File in relation to Mr Živorad Krstić (case no. 258/09)</w:t>
      </w:r>
    </w:p>
    <w:p w:rsidR="00320180" w:rsidRPr="00320180" w:rsidRDefault="00320180" w:rsidP="00320180">
      <w:pPr>
        <w:pStyle w:val="ListParagraph"/>
        <w:rPr>
          <w:color w:val="0070C0"/>
          <w:lang w:val="en-GB"/>
        </w:rPr>
      </w:pPr>
      <w:bookmarkStart w:id="27" w:name="_Ref374549212"/>
      <w:bookmarkStart w:id="28" w:name="_Ref375582034"/>
    </w:p>
    <w:p w:rsidR="00D920B7" w:rsidRPr="00D920B7" w:rsidRDefault="00D920B7" w:rsidP="003D4233">
      <w:pPr>
        <w:pStyle w:val="ListParagraph"/>
        <w:numPr>
          <w:ilvl w:val="0"/>
          <w:numId w:val="2"/>
        </w:numPr>
        <w:tabs>
          <w:tab w:val="clear" w:pos="360"/>
          <w:tab w:val="num" w:pos="540"/>
        </w:tabs>
        <w:suppressAutoHyphens w:val="0"/>
        <w:contextualSpacing/>
        <w:jc w:val="both"/>
        <w:rPr>
          <w:lang w:val="en-GB"/>
        </w:rPr>
      </w:pPr>
      <w:bookmarkStart w:id="29" w:name="_Ref392513023"/>
      <w:bookmarkStart w:id="30" w:name="_Ref378855738"/>
      <w:r w:rsidRPr="00D920B7">
        <w:rPr>
          <w:lang w:val="en-GB"/>
        </w:rPr>
        <w:t xml:space="preserve">The file </w:t>
      </w:r>
      <w:r>
        <w:rPr>
          <w:lang w:val="en-GB"/>
        </w:rPr>
        <w:t xml:space="preserve">in relation to </w:t>
      </w:r>
      <w:r w:rsidRPr="00D920B7">
        <w:rPr>
          <w:lang w:val="en-GB"/>
        </w:rPr>
        <w:t>Mr Živorad Krstić contains a death certificate with a serial no. 24/16-2001,</w:t>
      </w:r>
      <w:r>
        <w:rPr>
          <w:lang w:val="en-GB"/>
        </w:rPr>
        <w:t xml:space="preserve"> </w:t>
      </w:r>
      <w:r w:rsidRPr="00D920B7">
        <w:rPr>
          <w:lang w:val="en-GB"/>
        </w:rPr>
        <w:t>issued by the Municipality of Prishtin</w:t>
      </w:r>
      <w:r w:rsidRPr="00D920B7">
        <w:rPr>
          <w:lang w:val="ru-RU"/>
        </w:rPr>
        <w:t>ё</w:t>
      </w:r>
      <w:r>
        <w:t>/Priština displaced in Serbia proper, indicating the</w:t>
      </w:r>
      <w:r w:rsidRPr="00D920B7">
        <w:rPr>
          <w:lang w:val="en-GB"/>
        </w:rPr>
        <w:t xml:space="preserve"> date of his death as 9 December 1999. Another document, which is a copy of the ruling of the Municipal Court of Prishtin</w:t>
      </w:r>
      <w:r w:rsidRPr="00D920B7">
        <w:rPr>
          <w:lang w:val="ru-RU"/>
        </w:rPr>
        <w:t>ё</w:t>
      </w:r>
      <w:r>
        <w:t xml:space="preserve">/Priština, displaced in Serbia proper, dated 25 July 2001, no. II.lin.no.3/00, states that </w:t>
      </w:r>
      <w:r w:rsidRPr="00D920B7">
        <w:rPr>
          <w:lang w:val="en-GB"/>
        </w:rPr>
        <w:t>Mr Živorad Krstić should be considered legally dead as of 9 December 1999.</w:t>
      </w:r>
    </w:p>
    <w:p w:rsidR="00D920B7" w:rsidRDefault="00D920B7" w:rsidP="00D920B7">
      <w:pPr>
        <w:pStyle w:val="ListParagraph"/>
        <w:suppressAutoHyphens w:val="0"/>
        <w:ind w:left="360"/>
        <w:contextualSpacing/>
        <w:jc w:val="both"/>
        <w:rPr>
          <w:lang w:val="en-GB"/>
        </w:rPr>
      </w:pPr>
    </w:p>
    <w:p w:rsidR="00B83CDB" w:rsidRDefault="00B83CDB" w:rsidP="003D4233">
      <w:pPr>
        <w:pStyle w:val="ListParagraph"/>
        <w:numPr>
          <w:ilvl w:val="0"/>
          <w:numId w:val="2"/>
        </w:numPr>
        <w:tabs>
          <w:tab w:val="clear" w:pos="360"/>
          <w:tab w:val="num" w:pos="540"/>
        </w:tabs>
        <w:suppressAutoHyphens w:val="0"/>
        <w:contextualSpacing/>
        <w:jc w:val="both"/>
        <w:rPr>
          <w:lang w:val="en-GB"/>
        </w:rPr>
      </w:pPr>
      <w:r>
        <w:rPr>
          <w:lang w:val="en-GB"/>
        </w:rPr>
        <w:t xml:space="preserve">An OMPF Victim Identification Form in relation to </w:t>
      </w:r>
      <w:r w:rsidRPr="008A4242">
        <w:rPr>
          <w:lang w:val="en-GB"/>
        </w:rPr>
        <w:t>Mr Živorad Krstić</w:t>
      </w:r>
      <w:r>
        <w:rPr>
          <w:lang w:val="en-GB"/>
        </w:rPr>
        <w:t>, dated 14 December 200</w:t>
      </w:r>
      <w:r w:rsidR="001E7A6D">
        <w:rPr>
          <w:lang w:val="en-GB"/>
        </w:rPr>
        <w:t>4</w:t>
      </w:r>
      <w:r>
        <w:rPr>
          <w:lang w:val="en-GB"/>
        </w:rPr>
        <w:t xml:space="preserve">, linked to the MPU case </w:t>
      </w:r>
      <w:r w:rsidRPr="00D8407D">
        <w:rPr>
          <w:lang w:val="en-GB"/>
        </w:rPr>
        <w:t>no. 200</w:t>
      </w:r>
      <w:r>
        <w:rPr>
          <w:lang w:val="en-GB"/>
        </w:rPr>
        <w:t>2</w:t>
      </w:r>
      <w:r w:rsidRPr="00D8407D">
        <w:rPr>
          <w:lang w:val="en-GB"/>
        </w:rPr>
        <w:t>-000</w:t>
      </w:r>
      <w:r>
        <w:rPr>
          <w:lang w:val="en-GB"/>
        </w:rPr>
        <w:t>561,</w:t>
      </w:r>
      <w:r w:rsidRPr="00D8407D">
        <w:rPr>
          <w:lang w:val="en-GB"/>
        </w:rPr>
        <w:t xml:space="preserve"> </w:t>
      </w:r>
      <w:r>
        <w:rPr>
          <w:lang w:val="en-GB"/>
        </w:rPr>
        <w:t>presents the identification information on this victim.</w:t>
      </w:r>
      <w:bookmarkEnd w:id="29"/>
    </w:p>
    <w:p w:rsidR="00B83CDB" w:rsidRDefault="00B83CDB" w:rsidP="00B83CDB">
      <w:pPr>
        <w:pStyle w:val="ListParagraph"/>
        <w:suppressAutoHyphens w:val="0"/>
        <w:ind w:left="360"/>
        <w:contextualSpacing/>
        <w:jc w:val="both"/>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An MPU</w:t>
      </w:r>
      <w:r w:rsidR="00AF1618">
        <w:rPr>
          <w:lang w:val="en-GB"/>
        </w:rPr>
        <w:t xml:space="preserve"> </w:t>
      </w:r>
      <w:r w:rsidR="00AF1618" w:rsidRPr="003D4233">
        <w:rPr>
          <w:lang w:val="en-GB"/>
        </w:rPr>
        <w:t>Ante-Mortem Investigation Report</w:t>
      </w:r>
      <w:r w:rsidRPr="00D8407D">
        <w:rPr>
          <w:lang w:val="en-GB"/>
        </w:rPr>
        <w:t xml:space="preserve"> on the case no. 200</w:t>
      </w:r>
      <w:r>
        <w:rPr>
          <w:lang w:val="en-GB"/>
        </w:rPr>
        <w:t>2</w:t>
      </w:r>
      <w:r w:rsidRPr="00D8407D">
        <w:rPr>
          <w:lang w:val="en-GB"/>
        </w:rPr>
        <w:t>-000</w:t>
      </w:r>
      <w:r>
        <w:rPr>
          <w:lang w:val="en-GB"/>
        </w:rPr>
        <w:t>561</w:t>
      </w:r>
      <w:r w:rsidR="00B83CDB">
        <w:rPr>
          <w:lang w:val="en-GB"/>
        </w:rPr>
        <w:t>,</w:t>
      </w:r>
      <w:r w:rsidRPr="00D8407D">
        <w:rPr>
          <w:lang w:val="en-GB"/>
        </w:rPr>
        <w:t xml:space="preserve"> also bear</w:t>
      </w:r>
      <w:r w:rsidR="00B83CDB">
        <w:rPr>
          <w:lang w:val="en-GB"/>
        </w:rPr>
        <w:t>ing</w:t>
      </w:r>
      <w:r w:rsidRPr="00D8407D">
        <w:rPr>
          <w:lang w:val="en-GB"/>
        </w:rPr>
        <w:t xml:space="preserve"> the number 0</w:t>
      </w:r>
      <w:r>
        <w:rPr>
          <w:lang w:val="en-GB"/>
        </w:rPr>
        <w:t>190</w:t>
      </w:r>
      <w:r w:rsidRPr="00D8407D">
        <w:rPr>
          <w:lang w:val="en-GB"/>
        </w:rPr>
        <w:t>/INV/05</w:t>
      </w:r>
      <w:r w:rsidR="00B83CDB">
        <w:rPr>
          <w:lang w:val="en-GB"/>
        </w:rPr>
        <w:t xml:space="preserve">, </w:t>
      </w:r>
      <w:r w:rsidRPr="00D8407D">
        <w:rPr>
          <w:lang w:val="en-GB"/>
        </w:rPr>
        <w:t xml:space="preserve">was initiated on </w:t>
      </w:r>
      <w:r>
        <w:rPr>
          <w:lang w:val="en-GB"/>
        </w:rPr>
        <w:t>the 1</w:t>
      </w:r>
      <w:r w:rsidRPr="00D8407D">
        <w:rPr>
          <w:lang w:val="en-GB"/>
        </w:rPr>
        <w:t>2</w:t>
      </w:r>
      <w:r w:rsidRPr="008A4242">
        <w:rPr>
          <w:vertAlign w:val="superscript"/>
          <w:lang w:val="en-GB"/>
        </w:rPr>
        <w:t>th</w:t>
      </w:r>
      <w:r>
        <w:rPr>
          <w:lang w:val="en-GB"/>
        </w:rPr>
        <w:t xml:space="preserve"> and </w:t>
      </w:r>
      <w:r w:rsidRPr="00D8407D">
        <w:rPr>
          <w:lang w:val="en-GB"/>
        </w:rPr>
        <w:t xml:space="preserve">completed on </w:t>
      </w:r>
      <w:r w:rsidR="008F4B86">
        <w:rPr>
          <w:lang w:val="en-GB"/>
        </w:rPr>
        <w:t xml:space="preserve">the </w:t>
      </w:r>
      <w:r>
        <w:rPr>
          <w:lang w:val="en-GB"/>
        </w:rPr>
        <w:t>18</w:t>
      </w:r>
      <w:r w:rsidRPr="008A4242">
        <w:rPr>
          <w:vertAlign w:val="superscript"/>
          <w:lang w:val="en-GB"/>
        </w:rPr>
        <w:t>th</w:t>
      </w:r>
      <w:r>
        <w:rPr>
          <w:lang w:val="en-GB"/>
        </w:rPr>
        <w:t xml:space="preserve"> of January,</w:t>
      </w:r>
      <w:r w:rsidRPr="00D8407D">
        <w:rPr>
          <w:lang w:val="en-GB"/>
        </w:rPr>
        <w:t xml:space="preserve"> 2005. The field “Witness” on the front page </w:t>
      </w:r>
      <w:r>
        <w:rPr>
          <w:lang w:val="en-GB"/>
        </w:rPr>
        <w:t>has the name and complete contact details of Mr Ž.Đ. in Serbia proper.</w:t>
      </w:r>
    </w:p>
    <w:p w:rsidR="008A4242" w:rsidRPr="00D8407D" w:rsidRDefault="008A4242" w:rsidP="008A4242">
      <w:pPr>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bookmarkStart w:id="31" w:name="_Ref378855739"/>
      <w:r w:rsidRPr="00D8407D">
        <w:rPr>
          <w:lang w:val="en-GB"/>
        </w:rPr>
        <w:t>This report’s field “</w:t>
      </w:r>
      <w:r>
        <w:rPr>
          <w:lang w:val="en-GB"/>
        </w:rPr>
        <w:t>Nature of Information</w:t>
      </w:r>
      <w:r w:rsidRPr="00D8407D">
        <w:rPr>
          <w:lang w:val="en-GB"/>
        </w:rPr>
        <w:t xml:space="preserve">” provides very brief information on the disappearance of </w:t>
      </w:r>
      <w:r w:rsidRPr="008A4242">
        <w:rPr>
          <w:lang w:val="en-GB"/>
        </w:rPr>
        <w:t>Mr Živorad Krstić</w:t>
      </w:r>
      <w:r w:rsidRPr="00D8407D">
        <w:rPr>
          <w:lang w:val="en-GB"/>
        </w:rPr>
        <w:t>: “</w:t>
      </w:r>
      <w:r>
        <w:rPr>
          <w:lang w:val="en-GB"/>
        </w:rPr>
        <w:t>Zivorad KRSTIC, resident of Pristina, Aktas I area, No. 80, Suncani Breg District, was kidnapped from the bus (Prizren-Pristina) in Suva Reka on 25/06/1998. He was last seen at Llapushnik/Lapusnik KLA camp</w:t>
      </w:r>
      <w:r w:rsidRPr="00D8407D">
        <w:rPr>
          <w:lang w:val="en-GB"/>
        </w:rPr>
        <w:t>.</w:t>
      </w:r>
      <w:r>
        <w:rPr>
          <w:lang w:val="en-GB"/>
        </w:rPr>
        <w:t xml:space="preserve"> This case was reported to ICRC Belgrade under number YUK-</w:t>
      </w:r>
      <w:r w:rsidR="00D27921">
        <w:rPr>
          <w:lang w:val="en-GB"/>
        </w:rPr>
        <w:t>0500</w:t>
      </w:r>
      <w:r>
        <w:rPr>
          <w:lang w:val="en-GB"/>
        </w:rPr>
        <w:t>28 and a MPU file opened on 24/06/2002.</w:t>
      </w:r>
      <w:r w:rsidRPr="00D8407D">
        <w:rPr>
          <w:lang w:val="en-GB"/>
        </w:rPr>
        <w:t xml:space="preserve">” </w:t>
      </w:r>
      <w:r>
        <w:rPr>
          <w:lang w:val="en-GB"/>
        </w:rPr>
        <w:t xml:space="preserve">The “Further Investigation” field states that </w:t>
      </w:r>
      <w:r w:rsidR="002F739D">
        <w:rPr>
          <w:lang w:val="en-GB"/>
        </w:rPr>
        <w:t xml:space="preserve">the MPU had a telephone conversation with Mr Ž.Đ., who is a relative of </w:t>
      </w:r>
      <w:r w:rsidR="002F739D" w:rsidRPr="008A4242">
        <w:rPr>
          <w:lang w:val="en-GB"/>
        </w:rPr>
        <w:t>Mr Živorad Krstić</w:t>
      </w:r>
      <w:r w:rsidR="002F739D">
        <w:rPr>
          <w:lang w:val="en-GB"/>
        </w:rPr>
        <w:t>. He informed the Police that his relatives recognised</w:t>
      </w:r>
      <w:r w:rsidR="002F739D" w:rsidRPr="002F739D">
        <w:rPr>
          <w:lang w:val="en-GB"/>
        </w:rPr>
        <w:t xml:space="preserve"> </w:t>
      </w:r>
      <w:r w:rsidR="002F739D" w:rsidRPr="008A4242">
        <w:rPr>
          <w:lang w:val="en-GB"/>
        </w:rPr>
        <w:t>Mr Živorad Krstić</w:t>
      </w:r>
      <w:r w:rsidR="002F739D">
        <w:rPr>
          <w:lang w:val="en-GB"/>
        </w:rPr>
        <w:t xml:space="preserve"> </w:t>
      </w:r>
      <w:r w:rsidR="008F4B86">
        <w:rPr>
          <w:lang w:val="en-GB"/>
        </w:rPr>
        <w:t>in</w:t>
      </w:r>
      <w:r w:rsidR="002F739D">
        <w:rPr>
          <w:lang w:val="en-GB"/>
        </w:rPr>
        <w:t xml:space="preserve"> a photograph that had been displayed during the ICTY trial of Mr Fatmir Limaj, Mr Haradin Bala and Mr Isak Musliu, which was broad</w:t>
      </w:r>
      <w:r w:rsidR="002F739D" w:rsidRPr="007F6C64">
        <w:rPr>
          <w:color w:val="000000" w:themeColor="text1"/>
          <w:lang w:val="en-GB"/>
        </w:rPr>
        <w:t>cast</w:t>
      </w:r>
      <w:r w:rsidR="008F4B86" w:rsidRPr="007F6C64">
        <w:rPr>
          <w:color w:val="000000" w:themeColor="text1"/>
          <w:lang w:val="en-GB"/>
        </w:rPr>
        <w:t>ed</w:t>
      </w:r>
      <w:r w:rsidR="002F739D" w:rsidRPr="007F6C64">
        <w:rPr>
          <w:color w:val="000000" w:themeColor="text1"/>
          <w:lang w:val="en-GB"/>
        </w:rPr>
        <w:t xml:space="preserve"> </w:t>
      </w:r>
      <w:r w:rsidR="002F739D">
        <w:rPr>
          <w:lang w:val="en-GB"/>
        </w:rPr>
        <w:t xml:space="preserve">by Serbian television. The report adds that the name of </w:t>
      </w:r>
      <w:r w:rsidR="002F739D" w:rsidRPr="008A4242">
        <w:rPr>
          <w:lang w:val="en-GB"/>
        </w:rPr>
        <w:t>Mr Živorad Krstić</w:t>
      </w:r>
      <w:r w:rsidR="002F739D">
        <w:rPr>
          <w:lang w:val="en-GB"/>
        </w:rPr>
        <w:t xml:space="preserve"> can be found in the Annex I to the Second Amended Indictment in the </w:t>
      </w:r>
      <w:r w:rsidR="00390ACB">
        <w:rPr>
          <w:lang w:val="en-GB"/>
        </w:rPr>
        <w:t xml:space="preserve">above-mentioned ICTY </w:t>
      </w:r>
      <w:r w:rsidR="002F739D">
        <w:rPr>
          <w:lang w:val="en-GB"/>
        </w:rPr>
        <w:t>case against</w:t>
      </w:r>
      <w:r w:rsidR="00390ACB">
        <w:rPr>
          <w:lang w:val="en-GB"/>
        </w:rPr>
        <w:t xml:space="preserve"> Mr Fatmir Limaj and others</w:t>
      </w:r>
      <w:r w:rsidR="002F739D">
        <w:rPr>
          <w:lang w:val="en-GB"/>
        </w:rPr>
        <w:t xml:space="preserve"> </w:t>
      </w:r>
      <w:r w:rsidR="00390ACB">
        <w:rPr>
          <w:lang w:val="en-GB"/>
        </w:rPr>
        <w:t xml:space="preserve">(see details related to the ICTY proceedings in §§ </w:t>
      </w:r>
      <w:r w:rsidR="009F41BA">
        <w:rPr>
          <w:lang w:val="en-GB"/>
        </w:rPr>
        <w:fldChar w:fldCharType="begin"/>
      </w:r>
      <w:r w:rsidR="00390ACB">
        <w:rPr>
          <w:lang w:val="en-GB"/>
        </w:rPr>
        <w:instrText xml:space="preserve"> REF _Ref391911144 \r \h </w:instrText>
      </w:r>
      <w:r w:rsidR="009F41BA">
        <w:rPr>
          <w:lang w:val="en-GB"/>
        </w:rPr>
      </w:r>
      <w:r w:rsidR="009F41BA">
        <w:rPr>
          <w:lang w:val="en-GB"/>
        </w:rPr>
        <w:fldChar w:fldCharType="separate"/>
      </w:r>
      <w:r w:rsidR="009C2A5A">
        <w:rPr>
          <w:lang w:val="en-GB"/>
        </w:rPr>
        <w:t>129</w:t>
      </w:r>
      <w:r w:rsidR="009F41BA">
        <w:rPr>
          <w:lang w:val="en-GB"/>
        </w:rPr>
        <w:fldChar w:fldCharType="end"/>
      </w:r>
      <w:r w:rsidR="00390ACB">
        <w:rPr>
          <w:lang w:val="en-GB"/>
        </w:rPr>
        <w:t>-</w:t>
      </w:r>
      <w:r w:rsidR="009F41BA">
        <w:rPr>
          <w:lang w:val="en-GB"/>
        </w:rPr>
        <w:fldChar w:fldCharType="begin"/>
      </w:r>
      <w:r w:rsidR="00390ACB">
        <w:rPr>
          <w:lang w:val="en-GB"/>
        </w:rPr>
        <w:instrText xml:space="preserve"> REF _Ref391911146 \r \h </w:instrText>
      </w:r>
      <w:r w:rsidR="009F41BA">
        <w:rPr>
          <w:lang w:val="en-GB"/>
        </w:rPr>
      </w:r>
      <w:r w:rsidR="009F41BA">
        <w:rPr>
          <w:lang w:val="en-GB"/>
        </w:rPr>
        <w:fldChar w:fldCharType="separate"/>
      </w:r>
      <w:r w:rsidR="009C2A5A">
        <w:rPr>
          <w:lang w:val="en-GB"/>
        </w:rPr>
        <w:t>132</w:t>
      </w:r>
      <w:r w:rsidR="009F41BA">
        <w:rPr>
          <w:lang w:val="en-GB"/>
        </w:rPr>
        <w:fldChar w:fldCharType="end"/>
      </w:r>
      <w:r w:rsidR="00390ACB">
        <w:rPr>
          <w:lang w:val="en-GB"/>
        </w:rPr>
        <w:t xml:space="preserve"> below).</w:t>
      </w:r>
      <w:bookmarkEnd w:id="31"/>
    </w:p>
    <w:p w:rsidR="008A4242" w:rsidRPr="00D8407D" w:rsidRDefault="008A4242" w:rsidP="008A4242">
      <w:pPr>
        <w:pStyle w:val="ListParagraph"/>
        <w:suppressAutoHyphens w:val="0"/>
        <w:ind w:left="360"/>
        <w:contextualSpacing/>
        <w:jc w:val="both"/>
        <w:rPr>
          <w:lang w:val="en-GB"/>
        </w:rPr>
      </w:pPr>
    </w:p>
    <w:p w:rsidR="008A4242"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At the conclusion of this report, the investigator wrote: “</w:t>
      </w:r>
      <w:r w:rsidR="00390ACB">
        <w:rPr>
          <w:lang w:val="en-GB"/>
        </w:rPr>
        <w:t xml:space="preserve">From the Second amended Indictment of the above-mentioned KLA commanders it’s clear that Zivorad KRSTIC </w:t>
      </w:r>
      <w:r w:rsidR="00BF7BC9">
        <w:rPr>
          <w:lang w:val="en-GB"/>
        </w:rPr>
        <w:t>was murdered between 24 June 1998 and 26 July 1998 as a detainee at the Lapusnik/Llapushnik Prison Camp. But there is no information leading to a location of [his] remains.</w:t>
      </w:r>
      <w:r w:rsidRPr="00D8407D">
        <w:rPr>
          <w:lang w:val="en-GB"/>
        </w:rPr>
        <w:t xml:space="preserve"> The case should remain open </w:t>
      </w:r>
      <w:r w:rsidR="00390ACB">
        <w:rPr>
          <w:lang w:val="en-GB"/>
        </w:rPr>
        <w:t xml:space="preserve">inactive </w:t>
      </w:r>
      <w:r w:rsidRPr="00D8407D">
        <w:rPr>
          <w:lang w:val="en-GB"/>
        </w:rPr>
        <w:t>with</w:t>
      </w:r>
      <w:r w:rsidR="00390ACB">
        <w:rPr>
          <w:lang w:val="en-GB"/>
        </w:rPr>
        <w:t>in</w:t>
      </w:r>
      <w:r w:rsidRPr="00D8407D">
        <w:rPr>
          <w:lang w:val="en-GB"/>
        </w:rPr>
        <w:t xml:space="preserve"> the WCU.” The status of the case is put as “inactive”.</w:t>
      </w:r>
    </w:p>
    <w:p w:rsidR="00BF7BC9" w:rsidRPr="00BF7BC9" w:rsidRDefault="00BF7BC9" w:rsidP="00BF7BC9">
      <w:pPr>
        <w:pStyle w:val="ListParagraph"/>
        <w:rPr>
          <w:lang w:val="en-GB"/>
        </w:rPr>
      </w:pPr>
    </w:p>
    <w:p w:rsidR="00D920B7" w:rsidRDefault="00BF7BC9" w:rsidP="003D4233">
      <w:pPr>
        <w:pStyle w:val="ListParagraph"/>
        <w:numPr>
          <w:ilvl w:val="0"/>
          <w:numId w:val="2"/>
        </w:numPr>
        <w:tabs>
          <w:tab w:val="clear" w:pos="360"/>
          <w:tab w:val="num" w:pos="540"/>
        </w:tabs>
        <w:suppressAutoHyphens w:val="0"/>
        <w:contextualSpacing/>
        <w:jc w:val="both"/>
        <w:rPr>
          <w:lang w:val="en-GB"/>
        </w:rPr>
      </w:pPr>
      <w:r w:rsidRPr="00BF7BC9">
        <w:rPr>
          <w:lang w:val="en-GB"/>
        </w:rPr>
        <w:t>The file further contains a printout from the MPU database in relation to the case no. 0190/INV/05, cross-linked to the case no. 2002-000561, dated 19 January 2005</w:t>
      </w:r>
      <w:r>
        <w:rPr>
          <w:lang w:val="en-GB"/>
        </w:rPr>
        <w:t>. T</w:t>
      </w:r>
      <w:r w:rsidRPr="00D8407D">
        <w:rPr>
          <w:lang w:val="en-GB"/>
        </w:rPr>
        <w:t xml:space="preserve">he field “Request Summary” </w:t>
      </w:r>
      <w:r>
        <w:rPr>
          <w:lang w:val="en-GB"/>
        </w:rPr>
        <w:t xml:space="preserve">of this document </w:t>
      </w:r>
      <w:r w:rsidRPr="00D8407D">
        <w:rPr>
          <w:lang w:val="en-GB"/>
        </w:rPr>
        <w:t>reads: “</w:t>
      </w:r>
      <w:r w:rsidR="00D27921">
        <w:rPr>
          <w:lang w:val="en-GB"/>
        </w:rPr>
        <w:t>No new information could be collected</w:t>
      </w:r>
      <w:r w:rsidRPr="00D8407D">
        <w:rPr>
          <w:lang w:val="en-GB"/>
        </w:rPr>
        <w:t>”</w:t>
      </w:r>
      <w:r w:rsidR="00D27921">
        <w:rPr>
          <w:lang w:val="en-GB"/>
        </w:rPr>
        <w:t>; t</w:t>
      </w:r>
      <w:r w:rsidRPr="00D8407D">
        <w:rPr>
          <w:lang w:val="en-GB"/>
        </w:rPr>
        <w:t>h</w:t>
      </w:r>
      <w:r w:rsidR="00D27921">
        <w:rPr>
          <w:lang w:val="en-GB"/>
        </w:rPr>
        <w:t>e</w:t>
      </w:r>
      <w:r w:rsidRPr="00D8407D">
        <w:rPr>
          <w:lang w:val="en-GB"/>
        </w:rPr>
        <w:t xml:space="preserve"> field “Results” reads “Pending.”</w:t>
      </w:r>
    </w:p>
    <w:p w:rsidR="00D920B7" w:rsidRDefault="00D920B7" w:rsidP="00D920B7">
      <w:pPr>
        <w:pStyle w:val="ListParagraph"/>
        <w:ind w:left="360"/>
        <w:jc w:val="both"/>
        <w:rPr>
          <w:i/>
          <w:color w:val="000000" w:themeColor="text1"/>
          <w:highlight w:val="yellow"/>
          <w:lang w:val="en-GB"/>
        </w:rPr>
      </w:pPr>
    </w:p>
    <w:p w:rsidR="00D920B7" w:rsidRPr="00E80DAF" w:rsidRDefault="00D920B7" w:rsidP="00F0555D">
      <w:pPr>
        <w:pStyle w:val="ListParagraph"/>
        <w:numPr>
          <w:ilvl w:val="0"/>
          <w:numId w:val="14"/>
        </w:numPr>
        <w:ind w:left="270" w:hanging="270"/>
        <w:jc w:val="both"/>
        <w:rPr>
          <w:i/>
          <w:color w:val="000000" w:themeColor="text1"/>
          <w:lang w:val="en-GB"/>
        </w:rPr>
      </w:pPr>
      <w:r w:rsidRPr="00641D5D">
        <w:rPr>
          <w:i/>
          <w:lang w:val="en-GB"/>
        </w:rPr>
        <w:lastRenderedPageBreak/>
        <w:t>Investigation</w:t>
      </w:r>
      <w:r w:rsidRPr="00E80DAF">
        <w:rPr>
          <w:i/>
          <w:color w:val="000000" w:themeColor="text1"/>
          <w:lang w:val="en-GB"/>
        </w:rPr>
        <w:t xml:space="preserve"> in relation to the alleged illegal sale of </w:t>
      </w:r>
      <w:r w:rsidRPr="00E80DAF">
        <w:rPr>
          <w:i/>
          <w:lang w:val="en-GB"/>
        </w:rPr>
        <w:t>Mr Živorad Krstić’s immovable property in Kosovo</w:t>
      </w:r>
    </w:p>
    <w:p w:rsidR="00245E49" w:rsidRPr="00A16EBE" w:rsidRDefault="00245E49" w:rsidP="009A6AAD">
      <w:pPr>
        <w:rPr>
          <w:lang w:val="en-GB"/>
        </w:rPr>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bookmarkStart w:id="32" w:name="_Ref401155816"/>
      <w:r>
        <w:rPr>
          <w:lang w:val="en-GB"/>
        </w:rPr>
        <w:t xml:space="preserve">The investigative file also contains a number of documents related to the investigation into </w:t>
      </w:r>
      <w:r w:rsidR="008F4B86">
        <w:t xml:space="preserve">an </w:t>
      </w:r>
      <w:r>
        <w:rPr>
          <w:lang w:val="en-GB"/>
        </w:rPr>
        <w:t>alleged fraudulent sale of M</w:t>
      </w:r>
      <w:r w:rsidRPr="008A4242">
        <w:rPr>
          <w:lang w:val="en-GB"/>
        </w:rPr>
        <w:t>r Živorad Krstić</w:t>
      </w:r>
      <w:r>
        <w:rPr>
          <w:lang w:val="en-GB"/>
        </w:rPr>
        <w:t>’s immovable property in Prishtin</w:t>
      </w:r>
      <w:r w:rsidR="008F4B86">
        <w:rPr>
          <w:lang w:val="ru-RU"/>
        </w:rPr>
        <w:t>ё</w:t>
      </w:r>
      <w:r>
        <w:t xml:space="preserve">/Priština, in August 2001. The first document in this regard is a copy of the sales contract (see § </w:t>
      </w:r>
      <w:r w:rsidR="009F41BA">
        <w:fldChar w:fldCharType="begin"/>
      </w:r>
      <w:r>
        <w:instrText xml:space="preserve"> REF _Ref391979788 \r \h </w:instrText>
      </w:r>
      <w:r w:rsidR="009F41BA">
        <w:fldChar w:fldCharType="separate"/>
      </w:r>
      <w:r w:rsidR="009C2A5A">
        <w:t>58</w:t>
      </w:r>
      <w:r w:rsidR="009F41BA">
        <w:fldChar w:fldCharType="end"/>
      </w:r>
      <w:r>
        <w:t xml:space="preserve"> above).</w:t>
      </w:r>
      <w:bookmarkEnd w:id="32"/>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According to another sales contract, on 3 June 2004, Ms H.B. had sold this property to Mr. M.Z. On behalf of the seller, the contract was signed by a lawyer, Mr. H.M., authorised by Ms H.B.; a copy of the authorisation letter, issued on 22 May 2003 in Stockholm, Sweden, is also in the file. According to a stamp of the Prishtin</w:t>
      </w:r>
      <w:r>
        <w:rPr>
          <w:lang w:val="ru-RU"/>
        </w:rPr>
        <w:t>ё</w:t>
      </w:r>
      <w:r>
        <w:t>/Priština MC, this contract was registered by its Registry on 22 June 2004, under the no. VR.nr. 3569/2004.</w:t>
      </w:r>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Th</w:t>
      </w:r>
      <w:r w:rsidR="00D920B7">
        <w:t>is part of the file</w:t>
      </w:r>
      <w:r>
        <w:t xml:space="preserve"> contains a certificate issued to Mr M.Z. by the President of the MC of Mitrovic</w:t>
      </w:r>
      <w:r>
        <w:rPr>
          <w:lang w:val="ru-RU"/>
        </w:rPr>
        <w:t>ё/</w:t>
      </w:r>
      <w:r>
        <w:t xml:space="preserve">Mitrovica, on 3 October 2006, confirming that the first sales contract between </w:t>
      </w:r>
      <w:r w:rsidRPr="008A4242">
        <w:rPr>
          <w:lang w:val="en-GB"/>
        </w:rPr>
        <w:t>Mr Živorad Krstić</w:t>
      </w:r>
      <w:r>
        <w:rPr>
          <w:lang w:val="en-GB"/>
        </w:rPr>
        <w:t xml:space="preserve"> and Ms H.B. was in fact registered </w:t>
      </w:r>
      <w:r>
        <w:t>by that Court on 15 August 2001, under the no. VR.nr.1140/2001.</w:t>
      </w:r>
    </w:p>
    <w:p w:rsidR="0078198B" w:rsidRPr="0078198B" w:rsidRDefault="0078198B" w:rsidP="0078198B">
      <w:pPr>
        <w:jc w:val="both"/>
        <w:rPr>
          <w:i/>
          <w:color w:val="000000" w:themeColor="text1"/>
          <w:highlight w:val="yellow"/>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3" w:name="_Ref392068105"/>
      <w:r>
        <w:rPr>
          <w:lang w:val="en-GB"/>
        </w:rPr>
        <w:t>According to a Request to Conduct Investigation, dated 8 November 2007, no. CIR 2007/698/PRS/AC, an UNMIK International Prosecutor had ordered UNMIK Police WCIU to investigate the circumstances of the alleged illegal sale of M</w:t>
      </w:r>
      <w:r w:rsidRPr="008A4242">
        <w:rPr>
          <w:lang w:val="en-GB"/>
        </w:rPr>
        <w:t>r Živorad Krstić</w:t>
      </w:r>
      <w:r>
        <w:rPr>
          <w:lang w:val="en-GB"/>
        </w:rPr>
        <w:t>’s property, as the DOJ had apparently received a complaint from his relatives in this regard; Ms H.B., Mr. B.Ç., Mr M.Z. and Mr H.M. are mentioned as “targets” in this request. In addition, the request mentions that the lawyer, Mr B.Ç., was at that time in detention, accused of a numerous forgeries.</w:t>
      </w:r>
      <w:bookmarkEnd w:id="33"/>
    </w:p>
    <w:p w:rsidR="009A6AAD" w:rsidRPr="00A95BBE" w:rsidRDefault="009A6AAD" w:rsidP="009A6AAD">
      <w:pPr>
        <w:pStyle w:val="ListParagraph"/>
        <w:rPr>
          <w:lang w:val="en-GB"/>
        </w:rPr>
      </w:pPr>
    </w:p>
    <w:p w:rsidR="009A6AAD" w:rsidRDefault="00DA502E" w:rsidP="003D4233">
      <w:pPr>
        <w:pStyle w:val="ListParagraph"/>
        <w:numPr>
          <w:ilvl w:val="0"/>
          <w:numId w:val="2"/>
        </w:numPr>
        <w:tabs>
          <w:tab w:val="clear" w:pos="360"/>
          <w:tab w:val="num" w:pos="540"/>
        </w:tabs>
        <w:suppressAutoHyphens w:val="0"/>
        <w:spacing w:after="120"/>
        <w:contextualSpacing/>
        <w:jc w:val="both"/>
        <w:rPr>
          <w:lang w:val="en-GB"/>
        </w:rPr>
      </w:pPr>
      <w:r>
        <w:rPr>
          <w:lang w:val="en-GB"/>
        </w:rPr>
        <w:t>According to the International Prosecutor</w:t>
      </w:r>
      <w:r w:rsidR="009A6AAD">
        <w:rPr>
          <w:lang w:val="en-GB"/>
        </w:rPr>
        <w:t>, “[t]here can be two conclusions from the above-mentioned [allegations of the fraudulent property transaction]:</w:t>
      </w:r>
    </w:p>
    <w:p w:rsidR="00D920B7" w:rsidRDefault="00D920B7" w:rsidP="00D920B7">
      <w:pPr>
        <w:pStyle w:val="ListParagraph"/>
        <w:suppressAutoHyphens w:val="0"/>
        <w:ind w:left="810" w:right="302" w:hanging="274"/>
        <w:contextualSpacing/>
        <w:jc w:val="both"/>
        <w:rPr>
          <w:lang w:val="en-GB"/>
        </w:rPr>
      </w:pPr>
    </w:p>
    <w:p w:rsidR="009A6AAD" w:rsidRDefault="009A6AAD" w:rsidP="00D920B7">
      <w:pPr>
        <w:pStyle w:val="ListParagraph"/>
        <w:suppressAutoHyphens w:val="0"/>
        <w:ind w:left="810" w:right="302" w:hanging="274"/>
        <w:contextualSpacing/>
        <w:jc w:val="both"/>
        <w:rPr>
          <w:lang w:val="en-GB"/>
        </w:rPr>
      </w:pPr>
      <w:r w:rsidRPr="00D920B7">
        <w:rPr>
          <w:i/>
          <w:lang w:val="en-GB"/>
        </w:rPr>
        <w:t>1.</w:t>
      </w:r>
      <w:r>
        <w:rPr>
          <w:lang w:val="en-GB"/>
        </w:rPr>
        <w:t xml:space="preserve"> The MP Krstić had not died in captivity and at least on 15 August 2001 he appeared in Mitrovica to sign the contract. In this case the first buyer – Ms. [H.B.] and her lawyer [B.Ç.] would be in position to shed light on the whereabouts of the MP and ways to contact him.</w:t>
      </w:r>
    </w:p>
    <w:p w:rsidR="009A6AAD" w:rsidRDefault="009A6AAD" w:rsidP="00D920B7">
      <w:pPr>
        <w:pStyle w:val="ListParagraph"/>
        <w:suppressAutoHyphens w:val="0"/>
        <w:ind w:left="810" w:right="304" w:hanging="270"/>
        <w:contextualSpacing/>
        <w:jc w:val="both"/>
        <w:rPr>
          <w:lang w:val="en-GB"/>
        </w:rPr>
      </w:pPr>
      <w:r w:rsidRPr="00D920B7">
        <w:rPr>
          <w:i/>
          <w:lang w:val="en-GB"/>
        </w:rPr>
        <w:t>2.</w:t>
      </w:r>
      <w:r>
        <w:rPr>
          <w:lang w:val="en-GB"/>
        </w:rPr>
        <w:t xml:space="preserve"> The contract was intentionally falsified by [perpetrators] in order to come into illegal possession of the MP’s very valuable immovable property. In this case it is very probable that the targets had verified information the MP was in fact dead and therefore would not appear and reclaim his property rights. If this is true – the offenders might be accomplices to his disappearance and murder, or might reveal people who bear responsibility for that crime.”</w:t>
      </w:r>
    </w:p>
    <w:p w:rsidR="009A6AAD" w:rsidRPr="001A0E71"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Pr>
          <w:lang w:val="en-GB"/>
        </w:rPr>
        <w:t xml:space="preserve">Thus, the </w:t>
      </w:r>
      <w:r w:rsidR="00DA502E">
        <w:rPr>
          <w:lang w:val="en-GB"/>
        </w:rPr>
        <w:t xml:space="preserve">International Prosecutor </w:t>
      </w:r>
      <w:r>
        <w:rPr>
          <w:lang w:val="en-GB"/>
        </w:rPr>
        <w:t>requested the WCIU to undertake the following action:</w:t>
      </w:r>
    </w:p>
    <w:p w:rsidR="00D920B7" w:rsidRDefault="00D920B7" w:rsidP="00D920B7">
      <w:pPr>
        <w:pStyle w:val="ListParagraph"/>
        <w:suppressAutoHyphens w:val="0"/>
        <w:ind w:left="810" w:right="304"/>
        <w:contextualSpacing/>
        <w:jc w:val="both"/>
        <w:rPr>
          <w:lang w:val="en-GB"/>
        </w:rPr>
      </w:pP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Identify and locate all targets and take their statements, making them understand that they might be considered accomplices to commission of a war crime;</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Collect copies of all documents in relation to those property transactions;</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lastRenderedPageBreak/>
        <w:t>Report back to the IP on the results of the investigation by 10 December 2007.</w:t>
      </w:r>
    </w:p>
    <w:p w:rsidR="009A6AAD" w:rsidRPr="004E5E26" w:rsidRDefault="009A6AAD" w:rsidP="009A6AAD">
      <w:pPr>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4" w:name="_Ref391997797"/>
      <w:r>
        <w:rPr>
          <w:lang w:val="en-GB"/>
        </w:rPr>
        <w:t xml:space="preserve">On 2 March 2008, a WCIU investigator submitted a memorandum to the UNMIK Police INTERPOL Liaison Office, requesting assistance in obtaining from </w:t>
      </w:r>
      <w:r w:rsidR="008F4B86">
        <w:rPr>
          <w:lang w:val="en-GB"/>
        </w:rPr>
        <w:t xml:space="preserve">the </w:t>
      </w:r>
      <w:r>
        <w:rPr>
          <w:lang w:val="en-GB"/>
        </w:rPr>
        <w:t>Serbian authorities</w:t>
      </w:r>
      <w:r w:rsidR="008F4B86">
        <w:rPr>
          <w:lang w:val="en-GB"/>
        </w:rPr>
        <w:t xml:space="preserve"> </w:t>
      </w:r>
      <w:r>
        <w:rPr>
          <w:lang w:val="en-GB"/>
        </w:rPr>
        <w:t xml:space="preserve">information on a person with the Serbian personal ID number, </w:t>
      </w:r>
      <w:r w:rsidR="008F4B86">
        <w:rPr>
          <w:lang w:val="en-GB"/>
        </w:rPr>
        <w:t>that</w:t>
      </w:r>
      <w:r>
        <w:rPr>
          <w:lang w:val="en-GB"/>
        </w:rPr>
        <w:t xml:space="preserve"> was put on the sales contract dated 18 August 2001, and which was not the same as the proper one of Mr </w:t>
      </w:r>
      <w:r w:rsidRPr="00320180">
        <w:rPr>
          <w:lang w:val="en-GB"/>
        </w:rPr>
        <w:t>Živorad Krstić</w:t>
      </w:r>
      <w:r>
        <w:rPr>
          <w:lang w:val="en-GB"/>
        </w:rPr>
        <w:t xml:space="preserve"> (</w:t>
      </w:r>
      <w:r w:rsidRPr="009C2A5A">
        <w:rPr>
          <w:lang w:val="en-GB"/>
        </w:rPr>
        <w:t xml:space="preserve">see § </w:t>
      </w:r>
      <w:r w:rsidR="009C2A5A" w:rsidRPr="009C2A5A">
        <w:fldChar w:fldCharType="begin"/>
      </w:r>
      <w:r w:rsidR="009C2A5A" w:rsidRPr="009C2A5A">
        <w:instrText xml:space="preserve"> REF _Ref391996382 \r \h  \* MERGEFORMAT </w:instrText>
      </w:r>
      <w:r w:rsidR="009C2A5A" w:rsidRPr="009C2A5A">
        <w:fldChar w:fldCharType="separate"/>
      </w:r>
      <w:r w:rsidR="009C2A5A" w:rsidRPr="009C2A5A">
        <w:rPr>
          <w:lang w:val="en-GB"/>
        </w:rPr>
        <w:t>59</w:t>
      </w:r>
      <w:r w:rsidR="009C2A5A" w:rsidRPr="009C2A5A">
        <w:fldChar w:fldCharType="end"/>
      </w:r>
      <w:r>
        <w:rPr>
          <w:lang w:val="en-GB"/>
        </w:rPr>
        <w:t xml:space="preserve"> above). In the same request, the investigator asked for complete background information on Ms H.B. to be sought from Serbian and Swedish authorities.</w:t>
      </w:r>
      <w:bookmarkEnd w:id="34"/>
    </w:p>
    <w:p w:rsidR="009A6AAD"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sidRPr="00A16EBE">
        <w:rPr>
          <w:lang w:val="en-GB"/>
        </w:rPr>
        <w:t>A WCIU Supplement/Continuation Form, dated 30 April 2008, further outlines the action undertaken by the Police in relation to the IP request CIR 2007/698/PRS/AC up to that date. In particular, the investigator was able to collect documents from the registry of the Mitrovic</w:t>
      </w:r>
      <w:r w:rsidRPr="00A16EBE">
        <w:rPr>
          <w:lang w:val="ru-RU"/>
        </w:rPr>
        <w:t>ё</w:t>
      </w:r>
      <w:r>
        <w:t xml:space="preserve">/Mitrovica MC, obtain information on the people involved in the transaction from </w:t>
      </w:r>
      <w:r w:rsidR="007F6C64">
        <w:t xml:space="preserve">the </w:t>
      </w:r>
      <w:r>
        <w:t xml:space="preserve">Kosovo Civil </w:t>
      </w:r>
      <w:r w:rsidR="008F4B86">
        <w:t>R</w:t>
      </w:r>
      <w:r>
        <w:t xml:space="preserve">egistry, the Serbian and Swedish authorities. Also, the police </w:t>
      </w:r>
      <w:r w:rsidR="008F4B86">
        <w:t xml:space="preserve">had </w:t>
      </w:r>
      <w:r>
        <w:t xml:space="preserve">located and interviewed Mr M.Z. and Mr H.M. (the buyer and the lawyer, mentioned in the sales contract of 2003). However, their statements are not in the file. </w:t>
      </w:r>
      <w:r w:rsidRPr="00A16EBE">
        <w:rPr>
          <w:lang w:val="en-GB"/>
        </w:rPr>
        <w:t xml:space="preserve">Likewise, the file does not indicate that the lawyer, Mr B.Ç. was interviewed, despite that he was in detention </w:t>
      </w:r>
      <w:r w:rsidR="008F4B86">
        <w:rPr>
          <w:lang w:val="en-GB"/>
        </w:rPr>
        <w:t>in Kosovo</w:t>
      </w:r>
      <w:r w:rsidRPr="00A16EBE">
        <w:rPr>
          <w:lang w:val="en-GB"/>
        </w:rPr>
        <w:t>.</w:t>
      </w:r>
    </w:p>
    <w:p w:rsidR="009A6AAD" w:rsidRPr="00A16EBE" w:rsidRDefault="009A6AAD" w:rsidP="009A6AAD">
      <w:pPr>
        <w:pStyle w:val="ListParagrap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5" w:name="_Ref401155787"/>
      <w:r w:rsidRPr="009540F4">
        <w:rPr>
          <w:lang w:val="en-GB"/>
        </w:rPr>
        <w:t xml:space="preserve">At the end of that Supplement/Continuation Form, the investigator </w:t>
      </w:r>
      <w:r w:rsidR="008F4B86">
        <w:rPr>
          <w:lang w:val="en-GB"/>
        </w:rPr>
        <w:t xml:space="preserve">stated </w:t>
      </w:r>
      <w:r w:rsidRPr="009540F4">
        <w:rPr>
          <w:lang w:val="en-GB"/>
        </w:rPr>
        <w:t xml:space="preserve">that </w:t>
      </w:r>
      <w:r w:rsidR="008F4B86">
        <w:rPr>
          <w:lang w:val="en-GB"/>
        </w:rPr>
        <w:t>he was not able to reach either</w:t>
      </w:r>
      <w:r w:rsidRPr="009540F4">
        <w:rPr>
          <w:lang w:val="en-GB"/>
        </w:rPr>
        <w:t xml:space="preserve"> Ms H.B. </w:t>
      </w:r>
      <w:r w:rsidR="008F4B86">
        <w:rPr>
          <w:lang w:val="en-GB"/>
        </w:rPr>
        <w:t>or</w:t>
      </w:r>
      <w:r w:rsidRPr="009540F4">
        <w:rPr>
          <w:lang w:val="en-GB"/>
        </w:rPr>
        <w:t xml:space="preserve"> Mr B.Ç.</w:t>
      </w:r>
      <w:r w:rsidR="008F4B86">
        <w:rPr>
          <w:lang w:val="en-GB"/>
        </w:rPr>
        <w:t>,</w:t>
      </w:r>
      <w:r w:rsidRPr="009540F4">
        <w:rPr>
          <w:lang w:val="en-GB"/>
        </w:rPr>
        <w:t xml:space="preserve"> as the first was in Sweden and the latter in jail, and </w:t>
      </w:r>
      <w:r w:rsidR="007F6C64">
        <w:rPr>
          <w:lang w:val="en-GB"/>
        </w:rPr>
        <w:t xml:space="preserve">he </w:t>
      </w:r>
      <w:r w:rsidRPr="009540F4">
        <w:rPr>
          <w:lang w:val="en-GB"/>
        </w:rPr>
        <w:t xml:space="preserve">sought an advice from the </w:t>
      </w:r>
      <w:r w:rsidR="00DA502E">
        <w:rPr>
          <w:lang w:val="en-GB"/>
        </w:rPr>
        <w:t>International Prosecutor</w:t>
      </w:r>
      <w:r w:rsidRPr="009540F4">
        <w:rPr>
          <w:lang w:val="en-GB"/>
        </w:rPr>
        <w:t xml:space="preserve">. According to the investigator, “the first contract of sale of Zivorad Krstic (MP)’s house was probably a case of falsification arranged by lawyer [B.Ç.]”. Therefore, it was suggested that the case </w:t>
      </w:r>
      <w:r w:rsidR="007F6C64">
        <w:rPr>
          <w:lang w:val="en-GB"/>
        </w:rPr>
        <w:t>be</w:t>
      </w:r>
      <w:r w:rsidRPr="009540F4">
        <w:rPr>
          <w:lang w:val="en-GB"/>
        </w:rPr>
        <w:t xml:space="preserve"> handed over to </w:t>
      </w:r>
      <w:r w:rsidR="007F6C64">
        <w:rPr>
          <w:lang w:val="en-GB"/>
        </w:rPr>
        <w:t xml:space="preserve">the UNMIK Police </w:t>
      </w:r>
      <w:r w:rsidRPr="009540F4">
        <w:rPr>
          <w:lang w:val="en-GB"/>
        </w:rPr>
        <w:t>Economic Crimes Unit for further investigation.</w:t>
      </w:r>
      <w:bookmarkEnd w:id="35"/>
    </w:p>
    <w:p w:rsidR="009540F4" w:rsidRPr="009540F4" w:rsidRDefault="009540F4" w:rsidP="009540F4">
      <w:pPr>
        <w:pStyle w:val="ListParagraph"/>
        <w:rPr>
          <w:lang w:val="en-GB"/>
        </w:rPr>
      </w:pPr>
    </w:p>
    <w:p w:rsidR="004F2A90" w:rsidRDefault="004F2A90" w:rsidP="003D4233">
      <w:pPr>
        <w:pStyle w:val="ListParagraph"/>
        <w:numPr>
          <w:ilvl w:val="0"/>
          <w:numId w:val="2"/>
        </w:numPr>
        <w:tabs>
          <w:tab w:val="clear" w:pos="360"/>
          <w:tab w:val="num" w:pos="540"/>
        </w:tabs>
        <w:suppressAutoHyphens w:val="0"/>
        <w:contextualSpacing/>
        <w:jc w:val="both"/>
        <w:rPr>
          <w:lang w:val="en-GB"/>
        </w:rPr>
      </w:pPr>
      <w:r w:rsidRPr="00084E3F">
        <w:rPr>
          <w:lang w:val="en-GB"/>
        </w:rPr>
        <w:t xml:space="preserve">The next document in </w:t>
      </w:r>
      <w:r w:rsidR="008F4B86">
        <w:rPr>
          <w:lang w:val="en-GB"/>
        </w:rPr>
        <w:t xml:space="preserve">the </w:t>
      </w:r>
      <w:r w:rsidRPr="00084E3F">
        <w:rPr>
          <w:lang w:val="en-GB"/>
        </w:rPr>
        <w:t>file is a</w:t>
      </w:r>
      <w:r w:rsidR="00AF1618">
        <w:rPr>
          <w:lang w:val="en-GB"/>
        </w:rPr>
        <w:t xml:space="preserve"> report</w:t>
      </w:r>
      <w:r w:rsidR="00CE3030">
        <w:rPr>
          <w:lang w:val="en-GB"/>
        </w:rPr>
        <w:t xml:space="preserve"> </w:t>
      </w:r>
      <w:r w:rsidRPr="00084E3F">
        <w:rPr>
          <w:lang w:val="en-GB"/>
        </w:rPr>
        <w:t>of the UNMIK Police Ante Mortem and Exhumation Section</w:t>
      </w:r>
      <w:r w:rsidR="00714775">
        <w:rPr>
          <w:lang w:val="en-GB"/>
        </w:rPr>
        <w:t xml:space="preserve"> </w:t>
      </w:r>
      <w:r w:rsidRPr="00084E3F">
        <w:rPr>
          <w:lang w:val="en-GB"/>
        </w:rPr>
        <w:t xml:space="preserve">on the case 0190/INV/05, dated 2 June 2008; it is cross-referenced to the MPU investigation no 2002-000561. This report outlines the action undertaken by the police to that date in relation to the two events: the first - the abduction, detention and possible killing of Mr Živorad Krstić by the KLA, connecting it to the ICTY case against Mr Fatmir Limaj and others (see below, §§ </w:t>
      </w:r>
      <w:r w:rsidR="009F41BA" w:rsidRPr="00084E3F">
        <w:rPr>
          <w:lang w:val="en-GB"/>
        </w:rPr>
        <w:fldChar w:fldCharType="begin"/>
      </w:r>
      <w:r w:rsidRPr="00084E3F">
        <w:rPr>
          <w:lang w:val="en-GB"/>
        </w:rPr>
        <w:instrText xml:space="preserve"> REF _Ref391911144 \r \h </w:instrText>
      </w:r>
      <w:r w:rsidR="009F41BA" w:rsidRPr="00084E3F">
        <w:rPr>
          <w:lang w:val="en-GB"/>
        </w:rPr>
      </w:r>
      <w:r w:rsidR="009F41BA" w:rsidRPr="00084E3F">
        <w:rPr>
          <w:lang w:val="en-GB"/>
        </w:rPr>
        <w:fldChar w:fldCharType="separate"/>
      </w:r>
      <w:r w:rsidR="009C2A5A">
        <w:rPr>
          <w:lang w:val="en-GB"/>
        </w:rPr>
        <w:t>129</w:t>
      </w:r>
      <w:r w:rsidR="009F41BA" w:rsidRPr="00084E3F">
        <w:rPr>
          <w:lang w:val="en-GB"/>
        </w:rPr>
        <w:fldChar w:fldCharType="end"/>
      </w:r>
      <w:r w:rsidR="00DA502E">
        <w:rPr>
          <w:lang w:val="en-GB"/>
        </w:rPr>
        <w:t xml:space="preserve"> </w:t>
      </w:r>
      <w:r w:rsidRPr="00084E3F">
        <w:rPr>
          <w:lang w:val="en-GB"/>
        </w:rPr>
        <w:t>-</w:t>
      </w:r>
      <w:r w:rsidR="00DA502E">
        <w:rPr>
          <w:lang w:val="en-GB"/>
        </w:rPr>
        <w:t xml:space="preserve"> </w:t>
      </w:r>
      <w:r w:rsidR="009F41BA" w:rsidRPr="00084E3F">
        <w:rPr>
          <w:lang w:val="en-GB"/>
        </w:rPr>
        <w:fldChar w:fldCharType="begin"/>
      </w:r>
      <w:r w:rsidRPr="00084E3F">
        <w:rPr>
          <w:lang w:val="en-GB"/>
        </w:rPr>
        <w:instrText xml:space="preserve"> REF _Ref391911146 \r \h </w:instrText>
      </w:r>
      <w:r w:rsidR="009F41BA" w:rsidRPr="00084E3F">
        <w:rPr>
          <w:lang w:val="en-GB"/>
        </w:rPr>
      </w:r>
      <w:r w:rsidR="009F41BA" w:rsidRPr="00084E3F">
        <w:rPr>
          <w:lang w:val="en-GB"/>
        </w:rPr>
        <w:fldChar w:fldCharType="separate"/>
      </w:r>
      <w:r w:rsidR="009C2A5A">
        <w:rPr>
          <w:lang w:val="en-GB"/>
        </w:rPr>
        <w:t>132</w:t>
      </w:r>
      <w:r w:rsidR="009F41BA" w:rsidRPr="00084E3F">
        <w:rPr>
          <w:lang w:val="en-GB"/>
        </w:rPr>
        <w:fldChar w:fldCharType="end"/>
      </w:r>
      <w:r w:rsidRPr="00084E3F">
        <w:rPr>
          <w:lang w:val="en-GB"/>
        </w:rPr>
        <w:t>); and the second – fraudulent sale of his immovable property.</w:t>
      </w:r>
      <w:r w:rsidR="00084E3F" w:rsidRPr="00084E3F">
        <w:rPr>
          <w:lang w:val="en-GB"/>
        </w:rPr>
        <w:t xml:space="preserve"> With regard to the first, it is stated that a witness, Mr Ž.Đ., was interviewed, but his statement is not found in the file; the report lists the same suspects as in the ICTY case </w:t>
      </w:r>
      <w:r w:rsidR="00084E3F" w:rsidRPr="00084E3F">
        <w:rPr>
          <w:color w:val="000000" w:themeColor="text1"/>
        </w:rPr>
        <w:t>IT-03-66</w:t>
      </w:r>
      <w:r w:rsidR="00084E3F" w:rsidRPr="00084E3F">
        <w:rPr>
          <w:lang w:val="en-GB"/>
        </w:rPr>
        <w:t xml:space="preserve">. In relation to the second event, the sale of property, this report provides personal details on all “targets” mentioned in IP request above (see § </w:t>
      </w:r>
      <w:r w:rsidR="009F41BA" w:rsidRPr="00084E3F">
        <w:rPr>
          <w:lang w:val="en-GB"/>
        </w:rPr>
        <w:fldChar w:fldCharType="begin"/>
      </w:r>
      <w:r w:rsidR="00084E3F" w:rsidRPr="00084E3F">
        <w:rPr>
          <w:lang w:val="en-GB"/>
        </w:rPr>
        <w:instrText xml:space="preserve"> REF _Ref392068105 \r \h </w:instrText>
      </w:r>
      <w:r w:rsidR="009F41BA" w:rsidRPr="00084E3F">
        <w:rPr>
          <w:lang w:val="en-GB"/>
        </w:rPr>
      </w:r>
      <w:r w:rsidR="009F41BA" w:rsidRPr="00084E3F">
        <w:rPr>
          <w:lang w:val="en-GB"/>
        </w:rPr>
        <w:fldChar w:fldCharType="separate"/>
      </w:r>
      <w:r w:rsidR="009C2A5A">
        <w:rPr>
          <w:lang w:val="en-GB"/>
        </w:rPr>
        <w:t>92</w:t>
      </w:r>
      <w:r w:rsidR="009F41BA" w:rsidRPr="00084E3F">
        <w:rPr>
          <w:lang w:val="en-GB"/>
        </w:rPr>
        <w:fldChar w:fldCharType="end"/>
      </w:r>
      <w:r w:rsidR="00084E3F" w:rsidRPr="00084E3F">
        <w:rPr>
          <w:lang w:val="en-GB"/>
        </w:rPr>
        <w:t>) and states that Mr H.M. and Mr M.Z. had been interviewed, but their statements are also not in the file. The investigator proposed to continue investigati</w:t>
      </w:r>
      <w:r w:rsidR="007F6C64">
        <w:rPr>
          <w:lang w:val="en-GB"/>
        </w:rPr>
        <w:t>ng</w:t>
      </w:r>
      <w:r w:rsidR="00084E3F" w:rsidRPr="00084E3F">
        <w:rPr>
          <w:lang w:val="en-GB"/>
        </w:rPr>
        <w:t xml:space="preserve"> into the alleged illegal sale of property and into a doubt </w:t>
      </w:r>
      <w:r w:rsidR="008F4B86">
        <w:rPr>
          <w:lang w:val="en-GB"/>
        </w:rPr>
        <w:t>as to whether Mr Ž</w:t>
      </w:r>
      <w:r w:rsidR="008F4B86" w:rsidRPr="004861CD">
        <w:rPr>
          <w:lang w:val="en-GB"/>
        </w:rPr>
        <w:t>ivorad Krsti</w:t>
      </w:r>
      <w:r w:rsidR="008F4B86">
        <w:rPr>
          <w:lang w:val="en-GB"/>
        </w:rPr>
        <w:t xml:space="preserve">ć had been abducted at all and was missing, </w:t>
      </w:r>
      <w:r w:rsidR="007F6C64">
        <w:rPr>
          <w:lang w:val="en-GB"/>
        </w:rPr>
        <w:t xml:space="preserve">a doubt which </w:t>
      </w:r>
      <w:r w:rsidR="00084E3F" w:rsidRPr="00084E3F">
        <w:rPr>
          <w:lang w:val="en-GB"/>
        </w:rPr>
        <w:t>was apparently raised by Mr M.Z.</w:t>
      </w:r>
    </w:p>
    <w:p w:rsidR="00084E3F" w:rsidRDefault="00084E3F" w:rsidP="00084E3F">
      <w:pPr>
        <w:pStyle w:val="ListParagraph"/>
        <w:suppressAutoHyphens w:val="0"/>
        <w:ind w:left="360"/>
        <w:contextualSpacing/>
        <w:jc w:val="both"/>
        <w:rPr>
          <w:lang w:val="en-GB"/>
        </w:rPr>
      </w:pPr>
    </w:p>
    <w:p w:rsidR="009540F4" w:rsidRDefault="004F2A90" w:rsidP="003D4233">
      <w:pPr>
        <w:numPr>
          <w:ilvl w:val="0"/>
          <w:numId w:val="2"/>
        </w:numPr>
        <w:tabs>
          <w:tab w:val="clear" w:pos="360"/>
          <w:tab w:val="num" w:pos="450"/>
        </w:tabs>
        <w:ind w:left="450" w:hanging="450"/>
        <w:jc w:val="both"/>
        <w:rPr>
          <w:lang w:val="en-GB"/>
        </w:rPr>
      </w:pPr>
      <w:bookmarkStart w:id="36" w:name="_Ref392164300"/>
      <w:r>
        <w:rPr>
          <w:lang w:val="en-GB"/>
        </w:rPr>
        <w:t>By m</w:t>
      </w:r>
      <w:r w:rsidR="004861CD">
        <w:rPr>
          <w:lang w:val="en-GB"/>
        </w:rPr>
        <w:t>emorandum</w:t>
      </w:r>
      <w:r w:rsidR="008F4B86">
        <w:rPr>
          <w:lang w:val="en-GB"/>
        </w:rPr>
        <w:t>,</w:t>
      </w:r>
      <w:r w:rsidR="004861CD">
        <w:rPr>
          <w:lang w:val="en-GB"/>
        </w:rPr>
        <w:t xml:space="preserve"> </w:t>
      </w:r>
      <w:r w:rsidR="009A6AAD">
        <w:rPr>
          <w:lang w:val="en-GB"/>
        </w:rPr>
        <w:t>dated 20 June 2008, addressed to the UNMIK Police ICTY Liaison Unit</w:t>
      </w:r>
      <w:r>
        <w:rPr>
          <w:lang w:val="en-GB"/>
        </w:rPr>
        <w:t xml:space="preserve">, the </w:t>
      </w:r>
      <w:r w:rsidR="00AF1618" w:rsidRPr="009C2A5A">
        <w:rPr>
          <w:lang w:val="en-GB"/>
        </w:rPr>
        <w:t xml:space="preserve">Ante Mortem and Exhumation Section </w:t>
      </w:r>
      <w:r>
        <w:rPr>
          <w:lang w:val="en-GB"/>
        </w:rPr>
        <w:t xml:space="preserve"> had </w:t>
      </w:r>
      <w:r w:rsidR="009A6AAD">
        <w:rPr>
          <w:lang w:val="en-GB"/>
        </w:rPr>
        <w:t xml:space="preserve">requested </w:t>
      </w:r>
      <w:r>
        <w:rPr>
          <w:lang w:val="en-GB"/>
        </w:rPr>
        <w:t xml:space="preserve">the ICTY </w:t>
      </w:r>
      <w:r w:rsidR="009A6AAD">
        <w:rPr>
          <w:lang w:val="en-GB"/>
        </w:rPr>
        <w:t xml:space="preserve">to </w:t>
      </w:r>
      <w:r w:rsidR="0039611D">
        <w:rPr>
          <w:lang w:val="en-GB"/>
        </w:rPr>
        <w:t xml:space="preserve">disclose to </w:t>
      </w:r>
      <w:r w:rsidR="009A6AAD">
        <w:rPr>
          <w:lang w:val="en-GB"/>
        </w:rPr>
        <w:t xml:space="preserve">UNMIK Police </w:t>
      </w:r>
      <w:r w:rsidR="0039611D">
        <w:rPr>
          <w:lang w:val="en-GB"/>
        </w:rPr>
        <w:t xml:space="preserve">the </w:t>
      </w:r>
      <w:r w:rsidR="009540F4">
        <w:rPr>
          <w:lang w:val="en-GB"/>
        </w:rPr>
        <w:t>available evidence in relation to Mr Ž</w:t>
      </w:r>
      <w:r w:rsidR="0039611D" w:rsidRPr="004861CD">
        <w:rPr>
          <w:lang w:val="en-GB"/>
        </w:rPr>
        <w:t>ivorad Krsti</w:t>
      </w:r>
      <w:r w:rsidR="0039611D">
        <w:rPr>
          <w:lang w:val="en-GB"/>
        </w:rPr>
        <w:t>ć</w:t>
      </w:r>
      <w:r w:rsidR="009540F4">
        <w:rPr>
          <w:lang w:val="en-GB"/>
        </w:rPr>
        <w:t xml:space="preserve">’s </w:t>
      </w:r>
      <w:r w:rsidR="0039611D">
        <w:rPr>
          <w:lang w:val="en-GB"/>
        </w:rPr>
        <w:t>det</w:t>
      </w:r>
      <w:r w:rsidR="009540F4">
        <w:rPr>
          <w:lang w:val="en-GB"/>
        </w:rPr>
        <w:t xml:space="preserve">ention by the KLA, his killing, and </w:t>
      </w:r>
      <w:r w:rsidR="008F4B86">
        <w:rPr>
          <w:lang w:val="en-GB"/>
        </w:rPr>
        <w:t>the</w:t>
      </w:r>
      <w:r w:rsidR="009540F4">
        <w:rPr>
          <w:lang w:val="en-GB"/>
        </w:rPr>
        <w:t xml:space="preserve"> possible identification </w:t>
      </w:r>
      <w:r w:rsidR="008F4B86">
        <w:rPr>
          <w:lang w:val="en-GB"/>
        </w:rPr>
        <w:t xml:space="preserve">of his mortal remains </w:t>
      </w:r>
      <w:r w:rsidR="009540F4">
        <w:rPr>
          <w:lang w:val="en-GB"/>
        </w:rPr>
        <w:t>and</w:t>
      </w:r>
      <w:r w:rsidR="007F6C64">
        <w:rPr>
          <w:lang w:val="en-GB"/>
        </w:rPr>
        <w:t xml:space="preserve"> their</w:t>
      </w:r>
      <w:r w:rsidR="009540F4">
        <w:rPr>
          <w:lang w:val="en-GB"/>
        </w:rPr>
        <w:t xml:space="preserve"> return to the family.</w:t>
      </w:r>
      <w:bookmarkEnd w:id="36"/>
    </w:p>
    <w:p w:rsidR="009540F4" w:rsidRPr="009540F4" w:rsidRDefault="009540F4" w:rsidP="009540F4">
      <w:pPr>
        <w:pStyle w:val="ListParagraph"/>
        <w:rPr>
          <w:lang w:val="en-GB"/>
        </w:rPr>
      </w:pPr>
    </w:p>
    <w:p w:rsidR="004861CD" w:rsidRDefault="004F2A90" w:rsidP="003D4233">
      <w:pPr>
        <w:numPr>
          <w:ilvl w:val="0"/>
          <w:numId w:val="2"/>
        </w:numPr>
        <w:tabs>
          <w:tab w:val="clear" w:pos="360"/>
          <w:tab w:val="num" w:pos="450"/>
        </w:tabs>
        <w:ind w:left="450" w:hanging="450"/>
        <w:jc w:val="both"/>
        <w:rPr>
          <w:lang w:val="en-GB"/>
        </w:rPr>
      </w:pPr>
      <w:bookmarkStart w:id="37" w:name="_Ref392085727"/>
      <w:r>
        <w:rPr>
          <w:lang w:val="en-GB"/>
        </w:rPr>
        <w:lastRenderedPageBreak/>
        <w:t>On 2</w:t>
      </w:r>
      <w:r w:rsidR="009540F4">
        <w:rPr>
          <w:lang w:val="en-GB"/>
        </w:rPr>
        <w:t xml:space="preserve"> July 2008, the same investigator had requested the OMPF for an update on any development in relation to the location and identification of Mr Ž</w:t>
      </w:r>
      <w:r w:rsidR="009540F4" w:rsidRPr="004861CD">
        <w:rPr>
          <w:lang w:val="en-GB"/>
        </w:rPr>
        <w:t>ivorad Krsti</w:t>
      </w:r>
      <w:r w:rsidR="009540F4">
        <w:rPr>
          <w:lang w:val="en-GB"/>
        </w:rPr>
        <w:t>ć’s mortal remains, as well as on any recent communication with the family members. No response to this memorandum is in the file.</w:t>
      </w:r>
      <w:r w:rsidR="00943002">
        <w:rPr>
          <w:lang w:val="en-GB"/>
        </w:rPr>
        <w:t xml:space="preserve"> The same requests were sent on the same day to the ICMP and the ICRC.</w:t>
      </w:r>
      <w:bookmarkEnd w:id="37"/>
    </w:p>
    <w:p w:rsidR="009540F4" w:rsidRPr="009540F4" w:rsidRDefault="009540F4" w:rsidP="009540F4">
      <w:pPr>
        <w:pStyle w:val="ListParagraph"/>
        <w:rPr>
          <w:lang w:val="en-GB"/>
        </w:rPr>
      </w:pPr>
    </w:p>
    <w:p w:rsidR="009540F4" w:rsidRDefault="009540F4" w:rsidP="003D4233">
      <w:pPr>
        <w:numPr>
          <w:ilvl w:val="0"/>
          <w:numId w:val="2"/>
        </w:numPr>
        <w:tabs>
          <w:tab w:val="clear" w:pos="360"/>
          <w:tab w:val="num" w:pos="450"/>
        </w:tabs>
        <w:ind w:left="450" w:hanging="450"/>
        <w:jc w:val="both"/>
        <w:rPr>
          <w:lang w:val="en-GB"/>
        </w:rPr>
      </w:pPr>
      <w:r>
        <w:rPr>
          <w:lang w:val="en-GB"/>
        </w:rPr>
        <w:t>By an undated e-mail, apparently responding to a request similar to the one above to the OMPF, the ICRC office in Prishtin</w:t>
      </w:r>
      <w:r>
        <w:rPr>
          <w:lang w:val="ru-RU"/>
        </w:rPr>
        <w:t>ё</w:t>
      </w:r>
      <w:r>
        <w:t xml:space="preserve">/Priština confirmed that the case of </w:t>
      </w:r>
      <w:r>
        <w:rPr>
          <w:lang w:val="en-GB"/>
        </w:rPr>
        <w:t>Mr Ž</w:t>
      </w:r>
      <w:r w:rsidRPr="004861CD">
        <w:rPr>
          <w:lang w:val="en-GB"/>
        </w:rPr>
        <w:t>ivorad Krsti</w:t>
      </w:r>
      <w:r>
        <w:rPr>
          <w:lang w:val="en-GB"/>
        </w:rPr>
        <w:t>ć</w:t>
      </w:r>
      <w:r w:rsidR="00C01EE3">
        <w:rPr>
          <w:lang w:val="en-GB"/>
        </w:rPr>
        <w:t xml:space="preserve"> wa</w:t>
      </w:r>
      <w:r>
        <w:rPr>
          <w:lang w:val="en-GB"/>
        </w:rPr>
        <w:t xml:space="preserve">s still open in their records, that the ICRC </w:t>
      </w:r>
      <w:r w:rsidR="00C01EE3">
        <w:rPr>
          <w:lang w:val="en-GB"/>
        </w:rPr>
        <w:t>wa</w:t>
      </w:r>
      <w:r>
        <w:rPr>
          <w:lang w:val="en-GB"/>
        </w:rPr>
        <w:t xml:space="preserve">s in regular contact with his family members, and that their contact information may be released to the police. The ICRC also </w:t>
      </w:r>
      <w:r w:rsidR="00C01EE3">
        <w:rPr>
          <w:lang w:val="en-GB"/>
        </w:rPr>
        <w:t>affirmed</w:t>
      </w:r>
      <w:r>
        <w:rPr>
          <w:lang w:val="en-GB"/>
        </w:rPr>
        <w:t xml:space="preserve"> that all information available to the ICRC, beyond what was made public in the ICRC “Book of Missing”, “is confidential and therefore submitted only to the alleged authorities responsible for the disappearance.”</w:t>
      </w:r>
    </w:p>
    <w:p w:rsidR="00084E3F" w:rsidRPr="00084E3F" w:rsidRDefault="00084E3F" w:rsidP="00084E3F">
      <w:pPr>
        <w:pStyle w:val="ListParagraph"/>
        <w:rPr>
          <w:lang w:val="en-GB"/>
        </w:rPr>
      </w:pPr>
    </w:p>
    <w:p w:rsidR="00084E3F" w:rsidRDefault="00084E3F" w:rsidP="003D4233">
      <w:pPr>
        <w:numPr>
          <w:ilvl w:val="0"/>
          <w:numId w:val="2"/>
        </w:numPr>
        <w:tabs>
          <w:tab w:val="clear" w:pos="360"/>
          <w:tab w:val="num" w:pos="450"/>
        </w:tabs>
        <w:ind w:left="450" w:hanging="450"/>
        <w:jc w:val="both"/>
        <w:rPr>
          <w:lang w:val="en-GB"/>
        </w:rPr>
      </w:pPr>
      <w:r>
        <w:rPr>
          <w:lang w:val="en-GB"/>
        </w:rPr>
        <w:t xml:space="preserve">On 8 July 2008, the same investigator </w:t>
      </w:r>
      <w:r w:rsidR="00AF1618">
        <w:rPr>
          <w:lang w:val="en-GB"/>
        </w:rPr>
        <w:t xml:space="preserve">of the </w:t>
      </w:r>
      <w:r w:rsidR="00AF1618" w:rsidRPr="003D4233">
        <w:rPr>
          <w:lang w:val="en-GB"/>
        </w:rPr>
        <w:t xml:space="preserve">Ante Mortem and Exhumation Section </w:t>
      </w:r>
      <w:r>
        <w:rPr>
          <w:lang w:val="en-GB"/>
        </w:rPr>
        <w:t xml:space="preserve">prepared another </w:t>
      </w:r>
      <w:r w:rsidR="00E13B58">
        <w:rPr>
          <w:lang w:val="en-GB"/>
        </w:rPr>
        <w:t xml:space="preserve">progress report on the investigation in relation to the fraudulent property </w:t>
      </w:r>
      <w:r w:rsidR="00245E49">
        <w:rPr>
          <w:lang w:val="en-GB"/>
        </w:rPr>
        <w:t>transaction</w:t>
      </w:r>
      <w:r w:rsidR="00E13B58">
        <w:rPr>
          <w:lang w:val="en-GB"/>
        </w:rPr>
        <w:t>.</w:t>
      </w:r>
    </w:p>
    <w:p w:rsid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 xml:space="preserve">The OMPF Victim Identification Form in relation to </w:t>
      </w:r>
      <w:r w:rsidRPr="008A4242">
        <w:rPr>
          <w:lang w:val="en-GB"/>
        </w:rPr>
        <w:t>Mr Živorad Krstić</w:t>
      </w:r>
      <w:r>
        <w:rPr>
          <w:lang w:val="en-GB"/>
        </w:rPr>
        <w:t>, dated 10 July 2010, presents the identification information on this victim.</w:t>
      </w:r>
    </w:p>
    <w:p w:rsidR="001E7A6D" w:rsidRPr="001E7A6D" w:rsidRDefault="001E7A6D" w:rsidP="001E7A6D">
      <w:pPr>
        <w:pStyle w:val="ListParagraph"/>
        <w:rPr>
          <w:lang w:val="en-GB"/>
        </w:rPr>
      </w:pPr>
    </w:p>
    <w:p w:rsidR="001E7A6D" w:rsidRDefault="001E7A6D" w:rsidP="003D4233">
      <w:pPr>
        <w:numPr>
          <w:ilvl w:val="0"/>
          <w:numId w:val="2"/>
        </w:numPr>
        <w:tabs>
          <w:tab w:val="clear" w:pos="360"/>
          <w:tab w:val="num" w:pos="450"/>
        </w:tabs>
        <w:ind w:left="450" w:hanging="450"/>
        <w:jc w:val="both"/>
        <w:rPr>
          <w:lang w:val="en-GB"/>
        </w:rPr>
      </w:pPr>
      <w:r>
        <w:rPr>
          <w:lang w:val="en-GB"/>
        </w:rPr>
        <w:t xml:space="preserve">The file further contains another OMPF Victim Identification Form, dated 10 July 2008, in relation to </w:t>
      </w:r>
      <w:r w:rsidRPr="008A4242">
        <w:rPr>
          <w:lang w:val="en-GB"/>
        </w:rPr>
        <w:t>Mr Živorad Krstić</w:t>
      </w:r>
      <w:r>
        <w:rPr>
          <w:lang w:val="en-GB"/>
        </w:rPr>
        <w:t>, presenting the same information as the above-mentioned form dated 14 December 2004 (</w:t>
      </w:r>
      <w:r w:rsidRPr="009C2A5A">
        <w:rPr>
          <w:lang w:val="en-GB"/>
        </w:rPr>
        <w:t xml:space="preserve">see § </w:t>
      </w:r>
      <w:r w:rsidR="009C2A5A" w:rsidRPr="009C2A5A">
        <w:fldChar w:fldCharType="begin"/>
      </w:r>
      <w:r w:rsidR="009C2A5A" w:rsidRPr="009C2A5A">
        <w:instrText xml:space="preserve"> REF _Ref392513023 \r \h  \* MERGEFORMAT </w:instrText>
      </w:r>
      <w:r w:rsidR="009C2A5A" w:rsidRPr="009C2A5A">
        <w:fldChar w:fldCharType="separate"/>
      </w:r>
      <w:r w:rsidR="009C2A5A" w:rsidRPr="009C2A5A">
        <w:rPr>
          <w:lang w:val="en-GB"/>
        </w:rPr>
        <w:t>83</w:t>
      </w:r>
      <w:r w:rsidR="009C2A5A" w:rsidRPr="009C2A5A">
        <w:fldChar w:fldCharType="end"/>
      </w:r>
      <w:r w:rsidRPr="009C2A5A">
        <w:rPr>
          <w:lang w:val="en-GB"/>
        </w:rPr>
        <w:t>).</w:t>
      </w:r>
    </w:p>
    <w:p w:rsidR="00245E49" w:rsidRP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On 14 July 20</w:t>
      </w:r>
      <w:r w:rsidR="00F82F04">
        <w:rPr>
          <w:lang w:val="en-GB"/>
        </w:rPr>
        <w:t>08</w:t>
      </w:r>
      <w:r>
        <w:rPr>
          <w:lang w:val="en-GB"/>
        </w:rPr>
        <w:t xml:space="preserve">, apparently in </w:t>
      </w:r>
      <w:r w:rsidR="00D042E5">
        <w:rPr>
          <w:lang w:val="en-GB"/>
        </w:rPr>
        <w:t>response</w:t>
      </w:r>
      <w:r>
        <w:rPr>
          <w:lang w:val="en-GB"/>
        </w:rPr>
        <w:t xml:space="preserve"> to </w:t>
      </w:r>
      <w:r w:rsidR="00C01EE3">
        <w:rPr>
          <w:lang w:val="en-GB"/>
        </w:rPr>
        <w:t xml:space="preserve">the investigator’s </w:t>
      </w:r>
      <w:r>
        <w:rPr>
          <w:lang w:val="en-GB"/>
        </w:rPr>
        <w:t xml:space="preserve">earlier request for information related to </w:t>
      </w:r>
      <w:r w:rsidR="00C01EE3">
        <w:rPr>
          <w:lang w:val="en-GB"/>
        </w:rPr>
        <w:t xml:space="preserve">the </w:t>
      </w:r>
      <w:r>
        <w:rPr>
          <w:lang w:val="en-GB"/>
        </w:rPr>
        <w:t xml:space="preserve">location and identification </w:t>
      </w:r>
      <w:r w:rsidR="00C01EE3">
        <w:rPr>
          <w:lang w:val="en-GB"/>
        </w:rPr>
        <w:t xml:space="preserve">of </w:t>
      </w:r>
      <w:r w:rsidR="00C01EE3" w:rsidRPr="008A4242">
        <w:rPr>
          <w:lang w:val="en-GB"/>
        </w:rPr>
        <w:t>Mr Živorad Krstić</w:t>
      </w:r>
      <w:r w:rsidR="00C01EE3">
        <w:rPr>
          <w:lang w:val="en-GB"/>
        </w:rPr>
        <w:t xml:space="preserve">’s mortal remains </w:t>
      </w:r>
      <w:r>
        <w:rPr>
          <w:lang w:val="en-GB"/>
        </w:rPr>
        <w:t>(</w:t>
      </w:r>
      <w:r w:rsidR="00C01EE3">
        <w:rPr>
          <w:lang w:val="en-GB"/>
        </w:rPr>
        <w:t xml:space="preserve">see </w:t>
      </w:r>
      <w:r>
        <w:rPr>
          <w:lang w:val="en-GB"/>
        </w:rPr>
        <w:t xml:space="preserve">§ </w:t>
      </w:r>
      <w:r w:rsidR="009F41BA">
        <w:rPr>
          <w:lang w:val="en-GB"/>
        </w:rPr>
        <w:fldChar w:fldCharType="begin"/>
      </w:r>
      <w:r>
        <w:rPr>
          <w:lang w:val="en-GB"/>
        </w:rPr>
        <w:instrText xml:space="preserve"> REF _Ref392085727 \r \h </w:instrText>
      </w:r>
      <w:r w:rsidR="009F41BA">
        <w:rPr>
          <w:lang w:val="en-GB"/>
        </w:rPr>
      </w:r>
      <w:r w:rsidR="009F41BA">
        <w:rPr>
          <w:lang w:val="en-GB"/>
        </w:rPr>
        <w:fldChar w:fldCharType="separate"/>
      </w:r>
      <w:r w:rsidR="009C2A5A">
        <w:rPr>
          <w:lang w:val="en-GB"/>
        </w:rPr>
        <w:t>100</w:t>
      </w:r>
      <w:r w:rsidR="009F41BA">
        <w:rPr>
          <w:lang w:val="en-GB"/>
        </w:rPr>
        <w:fldChar w:fldCharType="end"/>
      </w:r>
      <w:r w:rsidR="00714775">
        <w:rPr>
          <w:lang w:val="en-GB"/>
        </w:rPr>
        <w:t xml:space="preserve"> above)</w:t>
      </w:r>
      <w:r>
        <w:rPr>
          <w:lang w:val="en-GB"/>
        </w:rPr>
        <w:t xml:space="preserve">, the OMPF </w:t>
      </w:r>
      <w:r w:rsidR="00C01EE3">
        <w:rPr>
          <w:lang w:val="en-GB"/>
        </w:rPr>
        <w:t xml:space="preserve">provided the </w:t>
      </w:r>
      <w:r>
        <w:rPr>
          <w:lang w:val="en-GB"/>
        </w:rPr>
        <w:t>inform</w:t>
      </w:r>
      <w:r w:rsidR="00C01EE3">
        <w:rPr>
          <w:lang w:val="en-GB"/>
        </w:rPr>
        <w:t>ation</w:t>
      </w:r>
      <w:r>
        <w:rPr>
          <w:lang w:val="en-GB"/>
        </w:rPr>
        <w:t xml:space="preserve"> that the necessary blood samples had been collected from his relatives, but that to date his remains had not been identified, In addition, the OMPF </w:t>
      </w:r>
      <w:r w:rsidR="00C01EE3">
        <w:rPr>
          <w:lang w:val="en-GB"/>
        </w:rPr>
        <w:t xml:space="preserve">confirmed </w:t>
      </w:r>
      <w:r>
        <w:rPr>
          <w:lang w:val="en-GB"/>
        </w:rPr>
        <w:t xml:space="preserve">that two other individuals who </w:t>
      </w:r>
      <w:r w:rsidR="00D042E5">
        <w:rPr>
          <w:lang w:val="en-GB"/>
        </w:rPr>
        <w:t xml:space="preserve">had </w:t>
      </w:r>
      <w:r>
        <w:rPr>
          <w:lang w:val="en-GB"/>
        </w:rPr>
        <w:t xml:space="preserve">disappeared on 24 June 1998 in the same area </w:t>
      </w:r>
      <w:r w:rsidR="00305A83">
        <w:rPr>
          <w:lang w:val="en-GB"/>
        </w:rPr>
        <w:t>had been</w:t>
      </w:r>
      <w:r>
        <w:rPr>
          <w:lang w:val="en-GB"/>
        </w:rPr>
        <w:t xml:space="preserve"> identified and that the </w:t>
      </w:r>
      <w:r w:rsidR="00305A83">
        <w:rPr>
          <w:lang w:val="en-GB"/>
        </w:rPr>
        <w:t xml:space="preserve">DNA identification of the </w:t>
      </w:r>
      <w:r>
        <w:rPr>
          <w:lang w:val="en-GB"/>
        </w:rPr>
        <w:t xml:space="preserve">third body was still pending </w:t>
      </w:r>
      <w:r w:rsidR="00305A83">
        <w:rPr>
          <w:lang w:val="en-GB"/>
        </w:rPr>
        <w:t>with</w:t>
      </w:r>
      <w:r>
        <w:rPr>
          <w:lang w:val="en-GB"/>
        </w:rPr>
        <w:t xml:space="preserve"> the ICMP.</w:t>
      </w:r>
    </w:p>
    <w:p w:rsidR="00245E49" w:rsidRPr="007D6162" w:rsidRDefault="00245E49" w:rsidP="00245E49">
      <w:pPr>
        <w:pStyle w:val="ListParagraph"/>
        <w:rPr>
          <w:lang w:val="en-GB"/>
        </w:rPr>
      </w:pPr>
    </w:p>
    <w:p w:rsidR="00245E49" w:rsidRPr="007D6162" w:rsidRDefault="00245E49" w:rsidP="003D4233">
      <w:pPr>
        <w:numPr>
          <w:ilvl w:val="0"/>
          <w:numId w:val="2"/>
        </w:numPr>
        <w:tabs>
          <w:tab w:val="clear" w:pos="360"/>
          <w:tab w:val="num" w:pos="450"/>
        </w:tabs>
        <w:ind w:left="450" w:hanging="450"/>
        <w:jc w:val="both"/>
        <w:rPr>
          <w:lang w:val="en-GB"/>
        </w:rPr>
      </w:pPr>
      <w:r w:rsidRPr="007D6162">
        <w:rPr>
          <w:lang w:val="en-GB"/>
        </w:rPr>
        <w:t xml:space="preserve">On the same day, </w:t>
      </w:r>
      <w:r w:rsidR="00912402" w:rsidRPr="007D6162">
        <w:rPr>
          <w:lang w:val="en-GB"/>
        </w:rPr>
        <w:t xml:space="preserve">a Case Handover Report in relation to the property transaction </w:t>
      </w:r>
      <w:r w:rsidRPr="007D6162">
        <w:rPr>
          <w:lang w:val="en-GB"/>
        </w:rPr>
        <w:t xml:space="preserve">was </w:t>
      </w:r>
      <w:r w:rsidR="00912402" w:rsidRPr="007D6162">
        <w:rPr>
          <w:lang w:val="en-GB"/>
        </w:rPr>
        <w:t xml:space="preserve">prepared by the </w:t>
      </w:r>
      <w:r w:rsidR="00AF1618" w:rsidRPr="003D4233">
        <w:rPr>
          <w:lang w:val="en-GB"/>
        </w:rPr>
        <w:t>Ante Mortem and Exhumation Section</w:t>
      </w:r>
      <w:r w:rsidRPr="007D6162">
        <w:rPr>
          <w:lang w:val="en-GB"/>
        </w:rPr>
        <w:t xml:space="preserve">. </w:t>
      </w:r>
      <w:r w:rsidR="00912402" w:rsidRPr="007D6162">
        <w:rPr>
          <w:lang w:val="en-GB"/>
        </w:rPr>
        <w:t xml:space="preserve">This document </w:t>
      </w:r>
      <w:r w:rsidRPr="007D6162">
        <w:rPr>
          <w:lang w:val="en-GB"/>
        </w:rPr>
        <w:t>lists a number of actions, which still had to be undertaken</w:t>
      </w:r>
      <w:r w:rsidR="00912402" w:rsidRPr="007D6162">
        <w:rPr>
          <w:lang w:val="en-GB"/>
        </w:rPr>
        <w:t>: interview Mr. B.Ç. in detention centre; obtain original property transaction and the samples of Mr Živorad Krstić’s handwriting, in preparation for a forensic examination of the signatures; interview his daughters and analyse the documents received from the Kosovo Property Agency.</w:t>
      </w:r>
    </w:p>
    <w:p w:rsidR="00D042E5" w:rsidRPr="007D6162" w:rsidRDefault="00D042E5" w:rsidP="00D042E5">
      <w:pPr>
        <w:pStyle w:val="ListParagraph"/>
        <w:rPr>
          <w:lang w:val="en-GB"/>
        </w:rPr>
      </w:pPr>
    </w:p>
    <w:p w:rsidR="00D042E5" w:rsidRPr="007D6162" w:rsidRDefault="00D042E5" w:rsidP="003D4233">
      <w:pPr>
        <w:numPr>
          <w:ilvl w:val="0"/>
          <w:numId w:val="2"/>
        </w:numPr>
        <w:tabs>
          <w:tab w:val="clear" w:pos="360"/>
          <w:tab w:val="num" w:pos="450"/>
        </w:tabs>
        <w:ind w:left="450" w:hanging="450"/>
        <w:jc w:val="both"/>
        <w:rPr>
          <w:lang w:val="en-GB"/>
        </w:rPr>
      </w:pPr>
      <w:r w:rsidRPr="007D6162">
        <w:rPr>
          <w:lang w:val="en-GB"/>
        </w:rPr>
        <w:t>The fil</w:t>
      </w:r>
      <w:r w:rsidR="00627151" w:rsidRPr="007D6162">
        <w:rPr>
          <w:lang w:val="en-GB"/>
        </w:rPr>
        <w:t>e</w:t>
      </w:r>
      <w:r w:rsidRPr="007D6162">
        <w:rPr>
          <w:lang w:val="en-GB"/>
        </w:rPr>
        <w:t xml:space="preserve"> also contains a certificate issued on 21 July 2008 by </w:t>
      </w:r>
      <w:r w:rsidR="00305A83">
        <w:rPr>
          <w:lang w:val="en-GB"/>
        </w:rPr>
        <w:t xml:space="preserve">the </w:t>
      </w:r>
      <w:r w:rsidRPr="007D6162">
        <w:rPr>
          <w:lang w:val="en-GB"/>
        </w:rPr>
        <w:t>Serbian MUP and the Serbian Commission on Missing Persons, confirming that Mr Živorad Krstić was kidnapped on 1 July 1998 in Llapushnik/Lapušnik, and that his name is still in the “Consolidated List of the Missing Persons on the Territory of Kosovo and Metohija”.</w:t>
      </w:r>
    </w:p>
    <w:p w:rsidR="00627151" w:rsidRPr="007D6162" w:rsidRDefault="00627151" w:rsidP="00627151">
      <w:pPr>
        <w:pStyle w:val="ListParagraph"/>
        <w:rPr>
          <w:lang w:val="en-GB"/>
        </w:rPr>
      </w:pPr>
    </w:p>
    <w:p w:rsidR="00912402" w:rsidRPr="007D6162" w:rsidRDefault="00912402" w:rsidP="003D4233">
      <w:pPr>
        <w:numPr>
          <w:ilvl w:val="0"/>
          <w:numId w:val="2"/>
        </w:numPr>
        <w:tabs>
          <w:tab w:val="clear" w:pos="360"/>
          <w:tab w:val="num" w:pos="450"/>
        </w:tabs>
        <w:ind w:left="450" w:hanging="450"/>
        <w:jc w:val="both"/>
        <w:rPr>
          <w:lang w:val="en-GB"/>
        </w:rPr>
      </w:pPr>
      <w:r w:rsidRPr="007D6162">
        <w:rPr>
          <w:lang w:val="en-GB"/>
        </w:rPr>
        <w:lastRenderedPageBreak/>
        <w:t xml:space="preserve">On 28 July 2008, the same investigator wrote an Investigation Progress Report on the investigation into the abduction of Mr Živorad Krstić, but without </w:t>
      </w:r>
      <w:r w:rsidR="00305A83">
        <w:rPr>
          <w:lang w:val="en-GB"/>
        </w:rPr>
        <w:t xml:space="preserve">any </w:t>
      </w:r>
      <w:r w:rsidRPr="007D6162">
        <w:rPr>
          <w:lang w:val="en-GB"/>
        </w:rPr>
        <w:t xml:space="preserve">new information in it. It is also mentioned there that the “line of investigation” related to the property transaction “has now been handed over to </w:t>
      </w:r>
      <w:r w:rsidR="00305A83">
        <w:rPr>
          <w:lang w:val="en-GB"/>
        </w:rPr>
        <w:t>[Special Investigation Unit]</w:t>
      </w:r>
      <w:r w:rsidRPr="007D6162">
        <w:rPr>
          <w:lang w:val="en-GB"/>
        </w:rPr>
        <w:t>”.</w:t>
      </w:r>
    </w:p>
    <w:p w:rsidR="00120497" w:rsidRPr="007D6162" w:rsidRDefault="00120497" w:rsidP="00120497">
      <w:pPr>
        <w:pStyle w:val="ListParagrap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8" w:name="_Ref401156078"/>
      <w:r w:rsidRPr="007D6162">
        <w:rPr>
          <w:lang w:val="en-GB"/>
        </w:rPr>
        <w:t xml:space="preserve">On 8 August 2008, the ICTY Liaison Officer responded to UNMIK Police’s request for information (see § </w:t>
      </w:r>
      <w:r w:rsidR="009C2A5A">
        <w:fldChar w:fldCharType="begin"/>
      </w:r>
      <w:r w:rsidR="009C2A5A">
        <w:instrText xml:space="preserve"> REF _Ref392164300 \r \h  \* MERGEFORMAT </w:instrText>
      </w:r>
      <w:r w:rsidR="009C2A5A">
        <w:fldChar w:fldCharType="separate"/>
      </w:r>
      <w:r w:rsidR="009C2A5A" w:rsidRPr="009C2A5A">
        <w:rPr>
          <w:lang w:val="en-GB"/>
        </w:rPr>
        <w:t>99</w:t>
      </w:r>
      <w:r w:rsidR="009C2A5A">
        <w:fldChar w:fldCharType="end"/>
      </w:r>
      <w:r w:rsidRPr="007D6162">
        <w:rPr>
          <w:lang w:val="en-GB"/>
        </w:rPr>
        <w:t xml:space="preserve"> above) and transferred a number of documents related to Mr Živorad Krstić from the ICTY investigative file IT-03-66.</w:t>
      </w:r>
      <w:bookmarkEnd w:id="38"/>
    </w:p>
    <w:bookmarkEnd w:id="30"/>
    <w:p w:rsidR="00750F50" w:rsidRPr="007D6162" w:rsidRDefault="00750F50" w:rsidP="00750F50">
      <w:pPr>
        <w:pStyle w:val="ListParagraph"/>
        <w:suppressAutoHyphens w:val="0"/>
        <w:ind w:left="360"/>
        <w:contextualSpacing/>
        <w:jc w:val="bot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9" w:name="_Ref401157672"/>
      <w:r w:rsidRPr="007D6162">
        <w:rPr>
          <w:lang w:val="en-GB"/>
        </w:rPr>
        <w:t>On 2 September 2008, the Serbian MUP informed UNMIK Police that, according to their database, Mr Živorad Krstić’s pension was regularly paid until 31 January 2007 and was collected by his daughter, Ms. L.K.</w:t>
      </w:r>
      <w:bookmarkEnd w:id="39"/>
    </w:p>
    <w:p w:rsidR="00120497" w:rsidRPr="007D6162" w:rsidRDefault="00120497" w:rsidP="00120497">
      <w:pPr>
        <w:pStyle w:val="ListParagraph"/>
        <w:rPr>
          <w:lang w:val="en-GB"/>
        </w:rPr>
      </w:pPr>
    </w:p>
    <w:p w:rsidR="009133AA" w:rsidRPr="007D6162" w:rsidRDefault="00120497" w:rsidP="003D4233">
      <w:pPr>
        <w:numPr>
          <w:ilvl w:val="0"/>
          <w:numId w:val="2"/>
        </w:numPr>
        <w:tabs>
          <w:tab w:val="clear" w:pos="360"/>
          <w:tab w:val="num" w:pos="450"/>
        </w:tabs>
        <w:ind w:left="450" w:hanging="450"/>
        <w:jc w:val="both"/>
        <w:rPr>
          <w:lang w:val="en-GB"/>
        </w:rPr>
      </w:pPr>
      <w:r w:rsidRPr="007D6162">
        <w:rPr>
          <w:lang w:val="en-GB"/>
        </w:rPr>
        <w:t xml:space="preserve">The Investigation Closure Report, written by the same </w:t>
      </w:r>
      <w:r w:rsidR="00AF1618" w:rsidRPr="007D6162">
        <w:rPr>
          <w:lang w:val="en-GB"/>
        </w:rPr>
        <w:t>investigator</w:t>
      </w:r>
      <w:r w:rsidR="00AF1618" w:rsidRPr="003D4233">
        <w:rPr>
          <w:lang w:val="en-GB"/>
        </w:rPr>
        <w:t xml:space="preserve"> </w:t>
      </w:r>
      <w:r w:rsidR="00AF1618">
        <w:rPr>
          <w:lang w:val="en-GB"/>
        </w:rPr>
        <w:t xml:space="preserve">of the </w:t>
      </w:r>
      <w:r w:rsidR="00AF1618" w:rsidRPr="003D4233">
        <w:rPr>
          <w:lang w:val="en-GB"/>
        </w:rPr>
        <w:t>Ante Mortem and Exhumation Section</w:t>
      </w:r>
      <w:r w:rsidRPr="007D6162">
        <w:rPr>
          <w:lang w:val="en-GB"/>
        </w:rPr>
        <w:t xml:space="preserve">, on 14 October 2008, </w:t>
      </w:r>
      <w:r w:rsidR="009133AA" w:rsidRPr="007D6162">
        <w:rPr>
          <w:lang w:val="en-GB"/>
        </w:rPr>
        <w:t xml:space="preserve">briefly describes the situation of the investigation. In particular, it mentions that the responses from the Serbian MUP and the ICTY were not informative and did not </w:t>
      </w:r>
      <w:r w:rsidR="00305A83">
        <w:rPr>
          <w:lang w:val="en-GB"/>
        </w:rPr>
        <w:t>provide</w:t>
      </w:r>
      <w:r w:rsidR="009133AA" w:rsidRPr="007D6162">
        <w:rPr>
          <w:lang w:val="en-GB"/>
        </w:rPr>
        <w:t xml:space="preserve"> any specific references that would enable</w:t>
      </w:r>
      <w:r w:rsidR="00305A83">
        <w:rPr>
          <w:lang w:val="en-GB"/>
        </w:rPr>
        <w:t xml:space="preserve"> the</w:t>
      </w:r>
      <w:r w:rsidR="009133AA" w:rsidRPr="007D6162">
        <w:rPr>
          <w:lang w:val="en-GB"/>
        </w:rPr>
        <w:t xml:space="preserve"> location and identification of Mr Živorad Krstić’s mortal remains. It also mentions the fact that </w:t>
      </w:r>
      <w:r w:rsidR="00305A83">
        <w:rPr>
          <w:lang w:val="en-GB"/>
        </w:rPr>
        <w:t xml:space="preserve">the identification of </w:t>
      </w:r>
      <w:r w:rsidR="009133AA" w:rsidRPr="007D6162">
        <w:rPr>
          <w:lang w:val="en-GB"/>
        </w:rPr>
        <w:t>one of the bodies “recovered along with another identified victim in Lapushnik case is still pending”.</w:t>
      </w:r>
    </w:p>
    <w:p w:rsidR="009133AA" w:rsidRPr="007D6162" w:rsidRDefault="009133AA" w:rsidP="009133AA">
      <w:pPr>
        <w:pStyle w:val="ListParagraph"/>
        <w:rPr>
          <w:lang w:val="en-GB"/>
        </w:rPr>
      </w:pPr>
    </w:p>
    <w:p w:rsidR="00120497" w:rsidRDefault="009133AA" w:rsidP="003D4233">
      <w:pPr>
        <w:numPr>
          <w:ilvl w:val="0"/>
          <w:numId w:val="2"/>
        </w:numPr>
        <w:tabs>
          <w:tab w:val="clear" w:pos="360"/>
          <w:tab w:val="num" w:pos="450"/>
        </w:tabs>
        <w:ind w:left="450" w:hanging="450"/>
        <w:jc w:val="both"/>
        <w:rPr>
          <w:lang w:val="en-GB"/>
        </w:rPr>
      </w:pPr>
      <w:bookmarkStart w:id="40" w:name="_Ref401301215"/>
      <w:r w:rsidRPr="007D6162">
        <w:rPr>
          <w:lang w:val="en-GB"/>
        </w:rPr>
        <w:t xml:space="preserve">In the same report, the </w:t>
      </w:r>
      <w:r w:rsidR="00120497" w:rsidRPr="007D6162">
        <w:rPr>
          <w:lang w:val="en-GB"/>
        </w:rPr>
        <w:t xml:space="preserve">investigator </w:t>
      </w:r>
      <w:r w:rsidRPr="007D6162">
        <w:rPr>
          <w:lang w:val="en-GB"/>
        </w:rPr>
        <w:t xml:space="preserve">stated that: “There is no investigative process pending in this case apart from confirming the final identification of the MP. No fresh leads on the circumstances of his death have been brought out and the assumption that he was a victim of the Lapushnik prison camp case in [the ICTY] stands and has been apparently accepted by the family. Therefore, the investigator concluded </w:t>
      </w:r>
      <w:r w:rsidR="00120497" w:rsidRPr="007D6162">
        <w:rPr>
          <w:lang w:val="en-GB"/>
        </w:rPr>
        <w:t>that “[t]</w:t>
      </w:r>
      <w:proofErr w:type="gramStart"/>
      <w:r w:rsidR="00120497" w:rsidRPr="007D6162">
        <w:rPr>
          <w:lang w:val="en-GB"/>
        </w:rPr>
        <w:t>he</w:t>
      </w:r>
      <w:proofErr w:type="gramEnd"/>
      <w:r w:rsidR="00120497" w:rsidRPr="007D6162">
        <w:rPr>
          <w:lang w:val="en-GB"/>
        </w:rPr>
        <w:t xml:space="preserve"> investigation of the case may therefore be suspended. The Missing Person report may be kept pending till formal identification.</w:t>
      </w:r>
      <w:r w:rsidRPr="007D6162">
        <w:rPr>
          <w:lang w:val="en-GB"/>
        </w:rPr>
        <w:t>”</w:t>
      </w:r>
      <w:r w:rsidR="006D65BD" w:rsidRPr="007D6162">
        <w:rPr>
          <w:lang w:val="en-GB"/>
        </w:rPr>
        <w:t xml:space="preserve"> No more documents relevant to this investigation </w:t>
      </w:r>
      <w:proofErr w:type="gramStart"/>
      <w:r w:rsidR="006D65BD" w:rsidRPr="007D6162">
        <w:rPr>
          <w:lang w:val="en-GB"/>
        </w:rPr>
        <w:t>is</w:t>
      </w:r>
      <w:proofErr w:type="gramEnd"/>
      <w:r w:rsidR="006D65BD" w:rsidRPr="007D6162">
        <w:rPr>
          <w:lang w:val="en-GB"/>
        </w:rPr>
        <w:t xml:space="preserve"> on file.</w:t>
      </w:r>
      <w:bookmarkEnd w:id="40"/>
    </w:p>
    <w:p w:rsidR="00E57962" w:rsidRPr="007D6162" w:rsidRDefault="00E57962" w:rsidP="004861CD">
      <w:pPr>
        <w:pStyle w:val="ListParagraph"/>
        <w:suppressAutoHyphens w:val="0"/>
        <w:ind w:left="360"/>
        <w:contextualSpacing/>
        <w:jc w:val="both"/>
        <w:rPr>
          <w:color w:val="0070C0"/>
          <w:lang w:val="en-GB"/>
        </w:rPr>
      </w:pPr>
    </w:p>
    <w:bookmarkEnd w:id="27"/>
    <w:bookmarkEnd w:id="28"/>
    <w:p w:rsidR="004523E6" w:rsidRPr="00ED6D76" w:rsidRDefault="004523E6" w:rsidP="00F0555D">
      <w:pPr>
        <w:pStyle w:val="ListParagraph"/>
        <w:numPr>
          <w:ilvl w:val="0"/>
          <w:numId w:val="14"/>
        </w:numPr>
        <w:ind w:left="270" w:hanging="270"/>
        <w:jc w:val="both"/>
        <w:rPr>
          <w:i/>
          <w:color w:val="000000" w:themeColor="text1"/>
        </w:rPr>
      </w:pPr>
      <w:r w:rsidRPr="00F0555D">
        <w:rPr>
          <w:i/>
          <w:lang w:val="en-GB"/>
        </w:rPr>
        <w:t>Proceedings</w:t>
      </w:r>
      <w:r w:rsidRPr="00ED6D76">
        <w:rPr>
          <w:i/>
          <w:color w:val="000000" w:themeColor="text1"/>
          <w:lang w:val="en-GB"/>
        </w:rPr>
        <w:t xml:space="preserve"> </w:t>
      </w:r>
      <w:r w:rsidRPr="00641D5D">
        <w:rPr>
          <w:i/>
          <w:lang w:val="en-GB"/>
        </w:rPr>
        <w:t>before</w:t>
      </w:r>
      <w:r w:rsidRPr="00ED6D76">
        <w:rPr>
          <w:i/>
          <w:color w:val="000000" w:themeColor="text1"/>
          <w:lang w:val="en-GB"/>
        </w:rPr>
        <w:t xml:space="preserve"> the Housing and Property Directorate (HPD)</w:t>
      </w:r>
      <w:r w:rsidR="00167BC8" w:rsidRPr="00ED6D76">
        <w:rPr>
          <w:rStyle w:val="FootnoteReference"/>
          <w:i/>
          <w:color w:val="000000" w:themeColor="text1"/>
          <w:lang w:val="en-GB"/>
        </w:rPr>
        <w:footnoteReference w:id="18"/>
      </w:r>
      <w:r w:rsidRPr="00ED6D76">
        <w:rPr>
          <w:i/>
          <w:color w:val="000000" w:themeColor="text1"/>
          <w:lang w:val="en-GB"/>
        </w:rPr>
        <w:t xml:space="preserve">, in relation to the sale of </w:t>
      </w:r>
      <w:r w:rsidRPr="00ED6D76">
        <w:rPr>
          <w:i/>
          <w:color w:val="000000" w:themeColor="text1"/>
        </w:rPr>
        <w:t>Mr Živorad Krstić’s immovable property</w:t>
      </w:r>
    </w:p>
    <w:p w:rsidR="004523E6" w:rsidRPr="00ED6D76" w:rsidRDefault="004523E6" w:rsidP="004523E6">
      <w:pPr>
        <w:jc w:val="both"/>
        <w:rPr>
          <w:i/>
          <w:color w:val="000000" w:themeColor="text1"/>
        </w:rPr>
      </w:pPr>
    </w:p>
    <w:p w:rsidR="004523E6" w:rsidRPr="00ED6D76" w:rsidRDefault="00714775" w:rsidP="003D4233">
      <w:pPr>
        <w:numPr>
          <w:ilvl w:val="0"/>
          <w:numId w:val="2"/>
        </w:numPr>
        <w:tabs>
          <w:tab w:val="clear" w:pos="360"/>
          <w:tab w:val="num" w:pos="450"/>
        </w:tabs>
        <w:ind w:left="450" w:hanging="450"/>
        <w:jc w:val="both"/>
        <w:rPr>
          <w:color w:val="000000" w:themeColor="text1"/>
        </w:rPr>
      </w:pPr>
      <w:r>
        <w:rPr>
          <w:color w:val="000000" w:themeColor="text1"/>
        </w:rPr>
        <w:t>The claim of Mrs Snežana Simonović for restitution of her property rights h</w:t>
      </w:r>
      <w:r w:rsidR="004523E6" w:rsidRPr="00ED6D76">
        <w:rPr>
          <w:color w:val="000000" w:themeColor="text1"/>
        </w:rPr>
        <w:t xml:space="preserve">as been decided by the Housing and Property Claims Commission (HPCC), on 18 June 2005; it is reflected in the HPCC decision no. HPCC/D/194/2005/C. In relation to </w:t>
      </w:r>
      <w:r>
        <w:rPr>
          <w:color w:val="000000" w:themeColor="text1"/>
        </w:rPr>
        <w:t xml:space="preserve">the property in question it </w:t>
      </w:r>
      <w:r w:rsidR="004523E6" w:rsidRPr="00ED6D76">
        <w:rPr>
          <w:color w:val="000000" w:themeColor="text1"/>
        </w:rPr>
        <w:t>reads as follows:</w:t>
      </w:r>
    </w:p>
    <w:p w:rsidR="004523E6" w:rsidRPr="00ED6D76" w:rsidRDefault="004523E6" w:rsidP="004523E6">
      <w:pPr>
        <w:tabs>
          <w:tab w:val="left" w:pos="810"/>
        </w:tabs>
        <w:ind w:left="810" w:hanging="450"/>
        <w:jc w:val="both"/>
        <w:rPr>
          <w:i/>
          <w:color w:val="000000" w:themeColor="text1"/>
        </w:rPr>
      </w:pPr>
    </w:p>
    <w:p w:rsidR="004523E6" w:rsidRPr="00ED6D76" w:rsidRDefault="004523E6" w:rsidP="004523E6">
      <w:pPr>
        <w:tabs>
          <w:tab w:val="left" w:pos="810"/>
        </w:tabs>
        <w:ind w:left="810" w:hanging="450"/>
        <w:jc w:val="both"/>
        <w:rPr>
          <w:color w:val="000000" w:themeColor="text1"/>
        </w:rPr>
      </w:pPr>
      <w:r w:rsidRPr="00ED6D76">
        <w:rPr>
          <w:color w:val="000000" w:themeColor="text1"/>
        </w:rPr>
        <w:t>6.7</w:t>
      </w:r>
      <w:r w:rsidRPr="00ED6D76">
        <w:rPr>
          <w:color w:val="000000" w:themeColor="text1"/>
        </w:rPr>
        <w:tab/>
        <w:t xml:space="preserve">In Claim No. 003003 the respondent alleges that he has permission from the “owner” of the claimed property to live in the property. In support of his allegation the Respondent submitted a “purchase contract” concluded in August 2001 between the alleged owned and the previous owner of the claimed property. However, the verification conducted by the [HPD] has revealed that the previous owner </w:t>
      </w:r>
      <w:r w:rsidRPr="00714775">
        <w:rPr>
          <w:i/>
          <w:color w:val="000000" w:themeColor="text1"/>
        </w:rPr>
        <w:t>was kidnapped in June of 1998 and that his whereabouts remain unknown</w:t>
      </w:r>
      <w:r w:rsidR="00714775">
        <w:rPr>
          <w:color w:val="000000" w:themeColor="text1"/>
        </w:rPr>
        <w:t xml:space="preserve"> [emphasis added]</w:t>
      </w:r>
      <w:r w:rsidRPr="00ED6D76">
        <w:rPr>
          <w:color w:val="000000" w:themeColor="text1"/>
        </w:rPr>
        <w:t xml:space="preserve">. Consequently, he could not have </w:t>
      </w:r>
      <w:r w:rsidRPr="00ED6D76">
        <w:rPr>
          <w:color w:val="000000" w:themeColor="text1"/>
        </w:rPr>
        <w:lastRenderedPageBreak/>
        <w:t>participated in the alleged transaction. The Respondent’s defence thus stands to be dismissed.</w:t>
      </w:r>
    </w:p>
    <w:p w:rsidR="004523E6" w:rsidRPr="00ED6D76" w:rsidRDefault="004523E6" w:rsidP="004523E6">
      <w:pPr>
        <w:ind w:left="360"/>
        <w:jc w:val="both"/>
        <w:rPr>
          <w:color w:val="000000" w:themeColor="text1"/>
          <w:lang w:val="en-GB"/>
        </w:rPr>
      </w:pPr>
    </w:p>
    <w:p w:rsidR="00404736" w:rsidRDefault="004523E6" w:rsidP="003D4233">
      <w:pPr>
        <w:numPr>
          <w:ilvl w:val="0"/>
          <w:numId w:val="2"/>
        </w:numPr>
        <w:tabs>
          <w:tab w:val="clear" w:pos="360"/>
          <w:tab w:val="num" w:pos="450"/>
        </w:tabs>
        <w:ind w:left="450" w:hanging="450"/>
        <w:jc w:val="both"/>
        <w:rPr>
          <w:color w:val="000000" w:themeColor="text1"/>
          <w:lang w:val="en-GB"/>
        </w:rPr>
      </w:pPr>
      <w:r w:rsidRPr="00ED6D76">
        <w:rPr>
          <w:color w:val="000000" w:themeColor="text1"/>
        </w:rPr>
        <w:t xml:space="preserve">It </w:t>
      </w:r>
      <w:r w:rsidR="002C6D48" w:rsidRPr="00ED6D76">
        <w:rPr>
          <w:color w:val="000000" w:themeColor="text1"/>
        </w:rPr>
        <w:t xml:space="preserve">further </w:t>
      </w:r>
      <w:r w:rsidRPr="00ED6D76">
        <w:rPr>
          <w:color w:val="000000" w:themeColor="text1"/>
        </w:rPr>
        <w:t xml:space="preserve">appears </w:t>
      </w:r>
      <w:r w:rsidR="002C6D48" w:rsidRPr="00ED6D76">
        <w:rPr>
          <w:color w:val="000000" w:themeColor="text1"/>
        </w:rPr>
        <w:t xml:space="preserve">that Mr M.Z. contested the above decision of the HPCC, but his request was rejected by a decision </w:t>
      </w:r>
      <w:r w:rsidR="00404736" w:rsidRPr="00ED6D76">
        <w:rPr>
          <w:color w:val="000000" w:themeColor="text1"/>
        </w:rPr>
        <w:t xml:space="preserve">of 19 January 2007, </w:t>
      </w:r>
      <w:r w:rsidR="002C6D48" w:rsidRPr="00ED6D76">
        <w:rPr>
          <w:color w:val="000000" w:themeColor="text1"/>
        </w:rPr>
        <w:t>no. HPCC/REC/91/2007</w:t>
      </w:r>
      <w:r w:rsidR="00404736" w:rsidRPr="00ED6D76">
        <w:rPr>
          <w:color w:val="000000" w:themeColor="text1"/>
        </w:rPr>
        <w:t>. Subsequently, on 7 May 2008, the HPD Registrar had issued a final certificate, confirming that the proceedings</w:t>
      </w:r>
      <w:r w:rsidR="00404736" w:rsidRPr="00ED6D76">
        <w:rPr>
          <w:color w:val="000000" w:themeColor="text1"/>
          <w:lang w:val="en-GB"/>
        </w:rPr>
        <w:t xml:space="preserve"> in relation to the claim DS 003003 were finalized, that the decision “may no longer be the subject of proceedings before the HPCC or be legally challenged” and that it became “binding and enforceable and may not be subject to review by any other judicial or administrative authority in Kosovo.”</w:t>
      </w:r>
    </w:p>
    <w:p w:rsidR="00305A83" w:rsidRDefault="00305A83" w:rsidP="00305A83">
      <w:pPr>
        <w:ind w:left="450"/>
        <w:jc w:val="both"/>
        <w:rPr>
          <w:highlight w:val="yellow"/>
          <w:lang w:val="en-GB"/>
        </w:rPr>
      </w:pPr>
    </w:p>
    <w:p w:rsidR="00305A83" w:rsidRPr="00305A83" w:rsidRDefault="00305A83" w:rsidP="00305A83">
      <w:pPr>
        <w:numPr>
          <w:ilvl w:val="0"/>
          <w:numId w:val="2"/>
        </w:numPr>
        <w:tabs>
          <w:tab w:val="clear" w:pos="360"/>
          <w:tab w:val="num" w:pos="450"/>
        </w:tabs>
        <w:ind w:left="450" w:hanging="450"/>
        <w:jc w:val="both"/>
        <w:rPr>
          <w:lang w:val="en-GB"/>
        </w:rPr>
      </w:pPr>
      <w:r w:rsidRPr="00305A83">
        <w:rPr>
          <w:lang w:val="en-GB"/>
        </w:rPr>
        <w:t>The Panel was also informed that one of the lawyers involved in this alleged fraudulent sale, Mr. B.Ç., was sentenced in 2007 to a long term of imprisonment for numerous forgeries in relation to similar illegal transactions of properties belonging to persons displaced from Kosovo, missing and killed during the conflict. As mentioned above, on 3 July 2014, the Panel requested UNMIK to locate and present the file in relation to him, for its review. However, on 9 September 2014, UNMIK responded that it was not able to do so.</w:t>
      </w:r>
    </w:p>
    <w:p w:rsidR="002C6D48" w:rsidRPr="007D6162" w:rsidRDefault="002C6D48" w:rsidP="002C6D48">
      <w:pPr>
        <w:ind w:left="360"/>
        <w:jc w:val="both"/>
        <w:rPr>
          <w:i/>
          <w:color w:val="FF0000"/>
          <w:lang w:val="en-GB"/>
        </w:rPr>
      </w:pPr>
    </w:p>
    <w:p w:rsidR="00320180" w:rsidRPr="00ED6D76" w:rsidRDefault="00F30730" w:rsidP="00F0555D">
      <w:pPr>
        <w:pStyle w:val="ListParagraph"/>
        <w:numPr>
          <w:ilvl w:val="0"/>
          <w:numId w:val="14"/>
        </w:numPr>
        <w:ind w:left="270" w:hanging="270"/>
        <w:jc w:val="both"/>
        <w:rPr>
          <w:i/>
          <w:lang w:val="en-GB"/>
        </w:rPr>
      </w:pPr>
      <w:r w:rsidRPr="00ED6D76">
        <w:rPr>
          <w:i/>
          <w:lang w:val="en-GB"/>
        </w:rPr>
        <w:t xml:space="preserve">File in relation to </w:t>
      </w:r>
      <w:r w:rsidR="00320180" w:rsidRPr="00ED6D76">
        <w:rPr>
          <w:i/>
          <w:lang w:val="en-GB"/>
        </w:rPr>
        <w:t>Mr Miroslav Šuljinić (case no. 276/09)</w:t>
      </w:r>
    </w:p>
    <w:p w:rsidR="00320180" w:rsidRPr="007D6162" w:rsidRDefault="00320180" w:rsidP="00BE00C5">
      <w:pPr>
        <w:pStyle w:val="ListParagraph"/>
        <w:rPr>
          <w:lang w:val="en-GB"/>
        </w:rPr>
      </w:pPr>
    </w:p>
    <w:p w:rsidR="00775AC3" w:rsidRPr="00CE3030" w:rsidRDefault="00775AC3" w:rsidP="003D4233">
      <w:pPr>
        <w:numPr>
          <w:ilvl w:val="0"/>
          <w:numId w:val="2"/>
        </w:numPr>
        <w:tabs>
          <w:tab w:val="clear" w:pos="360"/>
          <w:tab w:val="num" w:pos="450"/>
        </w:tabs>
        <w:ind w:left="450" w:hanging="450"/>
        <w:jc w:val="both"/>
        <w:rPr>
          <w:lang w:val="en-GB"/>
        </w:rPr>
      </w:pPr>
      <w:bookmarkStart w:id="41" w:name="_Ref398285200"/>
      <w:r w:rsidRPr="00CE3030">
        <w:rPr>
          <w:lang w:val="en-GB"/>
        </w:rPr>
        <w:t xml:space="preserve">The </w:t>
      </w:r>
      <w:r w:rsidR="006023BF" w:rsidRPr="00CE3030">
        <w:rPr>
          <w:lang w:val="en-GB"/>
        </w:rPr>
        <w:t xml:space="preserve">earliest document in the </w:t>
      </w:r>
      <w:r w:rsidRPr="00CE3030">
        <w:rPr>
          <w:lang w:val="en-GB"/>
        </w:rPr>
        <w:t>investigative file relat</w:t>
      </w:r>
      <w:r w:rsidR="006023BF" w:rsidRPr="00CE3030">
        <w:rPr>
          <w:lang w:val="en-GB"/>
        </w:rPr>
        <w:t>ed</w:t>
      </w:r>
      <w:r w:rsidRPr="00CE3030">
        <w:rPr>
          <w:lang w:val="en-GB"/>
        </w:rPr>
        <w:t xml:space="preserve"> to Mr Miroslav Šuljinić</w:t>
      </w:r>
      <w:r w:rsidRPr="00CE3030">
        <w:rPr>
          <w:i/>
          <w:lang w:val="en-GB"/>
        </w:rPr>
        <w:t xml:space="preserve"> </w:t>
      </w:r>
      <w:r w:rsidR="006023BF" w:rsidRPr="00CE3030">
        <w:rPr>
          <w:lang w:val="en-GB"/>
        </w:rPr>
        <w:t>is a</w:t>
      </w:r>
      <w:r w:rsidR="00C6683B" w:rsidRPr="00CE3030">
        <w:rPr>
          <w:lang w:val="en-GB"/>
        </w:rPr>
        <w:t>n UNMIK Police initial incident report, dated 22 January 2000, reflecting the fact that on that day Mr Dragoljub Šuljinić, the father of Mr Miroslav Šuljinić</w:t>
      </w:r>
      <w:r w:rsidR="00305A83">
        <w:rPr>
          <w:lang w:val="en-GB"/>
        </w:rPr>
        <w:t>, had</w:t>
      </w:r>
      <w:r w:rsidR="00C6683B" w:rsidRPr="00CE3030">
        <w:rPr>
          <w:lang w:val="en-GB"/>
        </w:rPr>
        <w:t xml:space="preserve"> appeared at the UNMIK Police station </w:t>
      </w:r>
      <w:r w:rsidR="00305A83">
        <w:rPr>
          <w:lang w:val="en-GB"/>
        </w:rPr>
        <w:t>in Leposaviq/</w:t>
      </w:r>
      <w:r w:rsidR="00305A83" w:rsidRPr="00CE3030">
        <w:rPr>
          <w:lang w:val="en-GB"/>
        </w:rPr>
        <w:t xml:space="preserve">Leposavić </w:t>
      </w:r>
      <w:r w:rsidR="00C6683B" w:rsidRPr="00CE3030">
        <w:rPr>
          <w:lang w:val="en-GB"/>
        </w:rPr>
        <w:t xml:space="preserve">and reported the latter’s disappearance. Attached to this report is a copy of the written </w:t>
      </w:r>
      <w:r w:rsidR="00305A83">
        <w:rPr>
          <w:lang w:val="en-GB"/>
        </w:rPr>
        <w:t xml:space="preserve">and </w:t>
      </w:r>
      <w:r w:rsidR="00C6683B" w:rsidRPr="00CE3030">
        <w:rPr>
          <w:lang w:val="en-GB"/>
        </w:rPr>
        <w:t xml:space="preserve">signed statement of Mr Dragoljub Šuljinić, as well as its English translation. The content of that statement largely corresponds to the information provided in the relevant ICTY judgment in the case </w:t>
      </w:r>
      <w:r w:rsidR="00C6683B" w:rsidRPr="00CE3030">
        <w:rPr>
          <w:i/>
        </w:rPr>
        <w:t>Prosecutor v. Fatmir Limaj, Haradin</w:t>
      </w:r>
      <w:r w:rsidR="00C6683B" w:rsidRPr="00CE3030">
        <w:rPr>
          <w:i/>
          <w:lang w:val="en-GB"/>
        </w:rPr>
        <w:t xml:space="preserve"> Bala and Isak Musliu</w:t>
      </w:r>
      <w:r w:rsidR="00C6683B" w:rsidRPr="00CE3030">
        <w:t>,  no. IT-03-66</w:t>
      </w:r>
      <w:r w:rsidR="00EA43B0" w:rsidRPr="00CE3030">
        <w:t xml:space="preserve"> (see §§ </w:t>
      </w:r>
      <w:r w:rsidR="009F41BA">
        <w:fldChar w:fldCharType="begin"/>
      </w:r>
      <w:r w:rsidR="00CE3030">
        <w:instrText xml:space="preserve"> REF _Ref391911144 \r \h </w:instrText>
      </w:r>
      <w:r w:rsidR="009F41BA">
        <w:fldChar w:fldCharType="separate"/>
      </w:r>
      <w:r w:rsidR="009C2A5A">
        <w:t>129</w:t>
      </w:r>
      <w:r w:rsidR="009F41BA">
        <w:fldChar w:fldCharType="end"/>
      </w:r>
      <w:r w:rsidR="00CE3030">
        <w:t xml:space="preserve"> and </w:t>
      </w:r>
      <w:r w:rsidR="009F41BA">
        <w:fldChar w:fldCharType="begin"/>
      </w:r>
      <w:r w:rsidR="00CE3030">
        <w:instrText xml:space="preserve"> REF _Ref398285234 \r \h </w:instrText>
      </w:r>
      <w:r w:rsidR="009F41BA">
        <w:fldChar w:fldCharType="separate"/>
      </w:r>
      <w:r w:rsidR="009C2A5A">
        <w:t>130</w:t>
      </w:r>
      <w:r w:rsidR="009F41BA">
        <w:fldChar w:fldCharType="end"/>
      </w:r>
      <w:r w:rsidR="00CE3030" w:rsidRPr="00CE3030">
        <w:t xml:space="preserve"> </w:t>
      </w:r>
      <w:r w:rsidR="00EA43B0" w:rsidRPr="00CE3030">
        <w:t>[</w:t>
      </w:r>
      <w:r w:rsidR="00CE3030">
        <w:t xml:space="preserve">in </w:t>
      </w:r>
      <w:r w:rsidR="00EA43B0" w:rsidRPr="00CE3030">
        <w:t>§§ 352 and 352 of the judgment] below)</w:t>
      </w:r>
      <w:r w:rsidR="00CE3030" w:rsidRPr="00CE3030">
        <w:t>.</w:t>
      </w:r>
      <w:bookmarkEnd w:id="41"/>
    </w:p>
    <w:p w:rsidR="00CE3030" w:rsidRPr="00CE3030" w:rsidRDefault="00CE3030" w:rsidP="00CE3030">
      <w:pPr>
        <w:ind w:left="450"/>
        <w:jc w:val="both"/>
        <w:rPr>
          <w:lang w:val="en-GB"/>
        </w:rPr>
      </w:pPr>
    </w:p>
    <w:p w:rsidR="00CE3030" w:rsidRDefault="00CE3030" w:rsidP="003D4233">
      <w:pPr>
        <w:numPr>
          <w:ilvl w:val="0"/>
          <w:numId w:val="2"/>
        </w:numPr>
        <w:tabs>
          <w:tab w:val="clear" w:pos="360"/>
          <w:tab w:val="num" w:pos="450"/>
        </w:tabs>
        <w:ind w:left="450" w:hanging="450"/>
        <w:jc w:val="both"/>
        <w:rPr>
          <w:lang w:val="en-GB"/>
        </w:rPr>
      </w:pPr>
      <w:r>
        <w:t>An MPU CCR, dated 6 February 2000, states that on that date a report from the Mitrovic</w:t>
      </w:r>
      <w:r>
        <w:rPr>
          <w:lang w:val="ru-RU"/>
        </w:rPr>
        <w:t>ё</w:t>
      </w:r>
      <w:r>
        <w:t xml:space="preserve">/Mitrovica Regional Investigation Unit (RIU) about </w:t>
      </w:r>
      <w:r w:rsidRPr="00CE3030">
        <w:rPr>
          <w:lang w:val="en-GB"/>
        </w:rPr>
        <w:t>Mr Miroslav Šuljinić</w:t>
      </w:r>
      <w:r>
        <w:rPr>
          <w:lang w:val="en-GB"/>
        </w:rPr>
        <w:t>’s disappearance was received by the MPU.</w:t>
      </w:r>
    </w:p>
    <w:p w:rsidR="00CE3030" w:rsidRDefault="00CE3030" w:rsidP="00CE3030">
      <w:pPr>
        <w:pStyle w:val="ListParagraph"/>
        <w:rPr>
          <w:lang w:val="en-GB"/>
        </w:rPr>
      </w:pPr>
    </w:p>
    <w:p w:rsidR="00775AC3" w:rsidRPr="00CE3030" w:rsidRDefault="00CE3030" w:rsidP="003D4233">
      <w:pPr>
        <w:numPr>
          <w:ilvl w:val="0"/>
          <w:numId w:val="2"/>
        </w:numPr>
        <w:tabs>
          <w:tab w:val="clear" w:pos="360"/>
          <w:tab w:val="num" w:pos="450"/>
        </w:tabs>
        <w:ind w:left="450" w:hanging="450"/>
        <w:contextualSpacing/>
        <w:jc w:val="both"/>
        <w:rPr>
          <w:color w:val="C0504D" w:themeColor="accent2"/>
          <w:lang w:val="en-GB"/>
        </w:rPr>
      </w:pPr>
      <w:r w:rsidRPr="00CE3030">
        <w:rPr>
          <w:lang w:val="en-GB"/>
        </w:rPr>
        <w:t xml:space="preserve">On 16 February 2000, the MPU </w:t>
      </w:r>
      <w:r w:rsidR="00ED6D76">
        <w:rPr>
          <w:lang w:val="en-GB"/>
        </w:rPr>
        <w:t xml:space="preserve">informed the Mitrovica RIU and the Leposavić Police Station that it had taken the case over and opened an investigation into it; the case was given a no. 2000-000034. The MPU had also informed the CCIU about the matter. On the same day, the MPU </w:t>
      </w:r>
      <w:r w:rsidRPr="00CE3030">
        <w:rPr>
          <w:lang w:val="en-GB"/>
        </w:rPr>
        <w:t>requested all UNMIK Police units to check their databases</w:t>
      </w:r>
      <w:r w:rsidR="00305A83">
        <w:rPr>
          <w:lang w:val="en-GB"/>
        </w:rPr>
        <w:t xml:space="preserve"> for</w:t>
      </w:r>
      <w:r w:rsidRPr="00CE3030">
        <w:rPr>
          <w:lang w:val="en-GB"/>
        </w:rPr>
        <w:t xml:space="preserve"> any information in relation to Mr Miroslav Šuljinić. According to another </w:t>
      </w:r>
      <w:r>
        <w:rPr>
          <w:lang w:val="en-GB"/>
        </w:rPr>
        <w:t>CCR</w:t>
      </w:r>
      <w:r w:rsidR="00305A83">
        <w:rPr>
          <w:lang w:val="en-GB"/>
        </w:rPr>
        <w:t>,</w:t>
      </w:r>
      <w:r w:rsidR="00ED6D76">
        <w:rPr>
          <w:lang w:val="en-GB"/>
        </w:rPr>
        <w:t xml:space="preserve"> seven responses received by April 2000 were negative.</w:t>
      </w:r>
    </w:p>
    <w:p w:rsidR="00ED6D76" w:rsidRPr="00ED6D76" w:rsidRDefault="00ED6D76" w:rsidP="00ED6D76">
      <w:pPr>
        <w:pStyle w:val="ListParagraph"/>
        <w:suppressAutoHyphens w:val="0"/>
        <w:ind w:left="450"/>
        <w:contextualSpacing/>
        <w:jc w:val="both"/>
        <w:rPr>
          <w:lang w:val="en-GB"/>
        </w:rPr>
      </w:pPr>
    </w:p>
    <w:p w:rsidR="00ED6D76" w:rsidRPr="00CA10B4" w:rsidRDefault="00ED6D76" w:rsidP="003D4233">
      <w:pPr>
        <w:pStyle w:val="ListParagraph"/>
        <w:numPr>
          <w:ilvl w:val="0"/>
          <w:numId w:val="2"/>
        </w:numPr>
        <w:tabs>
          <w:tab w:val="clear" w:pos="360"/>
          <w:tab w:val="num" w:pos="450"/>
        </w:tabs>
        <w:suppressAutoHyphens w:val="0"/>
        <w:ind w:left="450" w:hanging="450"/>
        <w:contextualSpacing/>
        <w:jc w:val="both"/>
        <w:rPr>
          <w:lang w:val="en-GB"/>
        </w:rPr>
      </w:pPr>
      <w:r w:rsidRPr="00ED6D76">
        <w:rPr>
          <w:lang w:val="en-GB"/>
        </w:rPr>
        <w:t xml:space="preserve">The file further contains an undated OSCE “Human Rights Interview/Incident Form”, </w:t>
      </w:r>
      <w:r w:rsidR="00305A83">
        <w:rPr>
          <w:lang w:val="en-GB"/>
        </w:rPr>
        <w:t>providing</w:t>
      </w:r>
      <w:r w:rsidRPr="00CA10B4">
        <w:rPr>
          <w:lang w:val="en-GB"/>
        </w:rPr>
        <w:t xml:space="preserve"> brief information on Mr Miroslav Šuljinić’s disappearance, apparently provided by his father.</w:t>
      </w:r>
    </w:p>
    <w:p w:rsidR="00ED6D76" w:rsidRPr="00CA10B4" w:rsidRDefault="00ED6D76" w:rsidP="00ED6D76">
      <w:pPr>
        <w:pStyle w:val="ListParagraph"/>
        <w:rPr>
          <w:lang w:val="en-GB"/>
        </w:rPr>
      </w:pPr>
    </w:p>
    <w:p w:rsidR="00CA10B4" w:rsidRPr="00CA10B4"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lastRenderedPageBreak/>
        <w:t>A</w:t>
      </w:r>
      <w:r w:rsidR="00ED6D76" w:rsidRPr="00CA10B4">
        <w:rPr>
          <w:lang w:val="en-GB"/>
        </w:rPr>
        <w:t xml:space="preserve">nother </w:t>
      </w:r>
      <w:r w:rsidRPr="00CA10B4">
        <w:rPr>
          <w:lang w:val="en-GB"/>
        </w:rPr>
        <w:t xml:space="preserve">MPU </w:t>
      </w:r>
      <w:r w:rsidR="00ED6D76" w:rsidRPr="00CA10B4">
        <w:rPr>
          <w:lang w:val="en-GB"/>
        </w:rPr>
        <w:t xml:space="preserve">CCR </w:t>
      </w:r>
      <w:r w:rsidRPr="00CA10B4">
        <w:rPr>
          <w:lang w:val="en-GB"/>
        </w:rPr>
        <w:t>on the case no. 2000-00</w:t>
      </w:r>
      <w:r w:rsidR="00ED6D76" w:rsidRPr="00CA10B4">
        <w:rPr>
          <w:lang w:val="en-GB"/>
        </w:rPr>
        <w:t>0034</w:t>
      </w:r>
      <w:r w:rsidRPr="00CA10B4">
        <w:rPr>
          <w:lang w:val="en-GB"/>
        </w:rPr>
        <w:t xml:space="preserve"> indicates that </w:t>
      </w:r>
      <w:r w:rsidR="00ED6D76" w:rsidRPr="00CA10B4">
        <w:rPr>
          <w:lang w:val="en-GB"/>
        </w:rPr>
        <w:t>on 16 February 2000, all information was entered into the MPU database.</w:t>
      </w:r>
    </w:p>
    <w:p w:rsidR="00CA10B4" w:rsidRPr="00CA10B4" w:rsidRDefault="00CA10B4" w:rsidP="00CA10B4">
      <w:pPr>
        <w:pStyle w:val="ListParagraph"/>
        <w:rPr>
          <w:lang w:val="en-GB"/>
        </w:rPr>
      </w:pPr>
    </w:p>
    <w:p w:rsidR="004853F9" w:rsidRPr="004853F9"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t xml:space="preserve">The file further contains a Victim Identification Form for </w:t>
      </w:r>
      <w:r w:rsidR="00505671" w:rsidRPr="00CA10B4">
        <w:rPr>
          <w:lang w:val="en-GB"/>
        </w:rPr>
        <w:t>Mr Miroslav Šuljinić</w:t>
      </w:r>
      <w:r w:rsidRPr="00CA10B4">
        <w:rPr>
          <w:lang w:val="en-GB"/>
        </w:rPr>
        <w:t xml:space="preserve">, apparently completed by the ICRC </w:t>
      </w:r>
      <w:r w:rsidRPr="00CA10B4">
        <w:rPr>
          <w:bCs/>
          <w:lang w:val="en-GB"/>
        </w:rPr>
        <w:t xml:space="preserve">between 1 July and 20 September 2001 (see § </w:t>
      </w:r>
      <w:r w:rsidR="009C2A5A">
        <w:fldChar w:fldCharType="begin"/>
      </w:r>
      <w:r w:rsidR="009C2A5A">
        <w:instrText xml:space="preserve"> REF _Ref392170744 \r \h  \* MERGEFORMAT </w:instrText>
      </w:r>
      <w:r w:rsidR="009C2A5A">
        <w:fldChar w:fldCharType="separate"/>
      </w:r>
      <w:r w:rsidR="009C2A5A" w:rsidRPr="009C2A5A">
        <w:rPr>
          <w:bCs/>
          <w:lang w:val="en-GB"/>
        </w:rPr>
        <w:t>44</w:t>
      </w:r>
      <w:r w:rsidR="009C2A5A">
        <w:fldChar w:fldCharType="end"/>
      </w:r>
      <w:r w:rsidRPr="00CA10B4">
        <w:rPr>
          <w:bCs/>
          <w:lang w:val="en-GB"/>
        </w:rPr>
        <w:t xml:space="preserve"> above)</w:t>
      </w:r>
      <w:r w:rsidRPr="00CA10B4">
        <w:rPr>
          <w:lang w:val="en-GB"/>
        </w:rPr>
        <w:t>. Besides</w:t>
      </w:r>
      <w:r w:rsidRPr="004853F9">
        <w:rPr>
          <w:lang w:val="en-GB"/>
        </w:rPr>
        <w:t xml:space="preserve"> his personal details and ante-mortem description, it provides the name and complete contact details of his </w:t>
      </w:r>
      <w:r w:rsidR="00505671" w:rsidRPr="004853F9">
        <w:rPr>
          <w:lang w:val="en-GB"/>
        </w:rPr>
        <w:t>sister</w:t>
      </w:r>
      <w:r w:rsidRPr="004853F9">
        <w:rPr>
          <w:lang w:val="en-GB"/>
        </w:rPr>
        <w:t xml:space="preserve"> </w:t>
      </w:r>
      <w:r w:rsidR="00505671" w:rsidRPr="004853F9">
        <w:rPr>
          <w:lang w:val="en-GB"/>
        </w:rPr>
        <w:t xml:space="preserve">and brother </w:t>
      </w:r>
      <w:r w:rsidRPr="004853F9">
        <w:rPr>
          <w:lang w:val="en-GB"/>
        </w:rPr>
        <w:t>(the complainant</w:t>
      </w:r>
      <w:r w:rsidR="00505671" w:rsidRPr="004853F9">
        <w:rPr>
          <w:lang w:val="en-GB"/>
        </w:rPr>
        <w:t xml:space="preserve">, </w:t>
      </w:r>
      <w:r w:rsidRPr="004853F9">
        <w:rPr>
          <w:lang w:val="en-GB"/>
        </w:rPr>
        <w:t xml:space="preserve">Mr </w:t>
      </w:r>
      <w:r w:rsidR="00505671" w:rsidRPr="004853F9">
        <w:rPr>
          <w:lang w:val="en-GB"/>
        </w:rPr>
        <w:t>Jeremija Šuljinić)</w:t>
      </w:r>
      <w:r w:rsidRPr="004853F9">
        <w:rPr>
          <w:lang w:val="en-GB"/>
        </w:rPr>
        <w:t xml:space="preserve">. </w:t>
      </w:r>
      <w:r w:rsidR="004853F9">
        <w:rPr>
          <w:lang w:val="en-GB"/>
        </w:rPr>
        <w:t>Attached to this form are two photographs, as well as photocopies of h</w:t>
      </w:r>
      <w:r w:rsidR="004853F9" w:rsidRPr="004853F9">
        <w:rPr>
          <w:lang w:val="en-GB"/>
        </w:rPr>
        <w:t xml:space="preserve">is </w:t>
      </w:r>
      <w:r w:rsidR="004853F9">
        <w:rPr>
          <w:lang w:val="en-GB"/>
        </w:rPr>
        <w:t>Yugoslav passport and “military book”</w:t>
      </w:r>
      <w:r w:rsidR="004853F9" w:rsidRPr="004853F9">
        <w:rPr>
          <w:lang w:val="en-GB"/>
        </w:rPr>
        <w:t>.</w:t>
      </w:r>
    </w:p>
    <w:p w:rsidR="004853F9" w:rsidRPr="004853F9" w:rsidRDefault="004853F9" w:rsidP="004853F9">
      <w:pPr>
        <w:pStyle w:val="ListParagraph"/>
        <w:suppressAutoHyphens w:val="0"/>
        <w:ind w:left="450"/>
        <w:contextualSpacing/>
        <w:jc w:val="both"/>
        <w:rPr>
          <w:color w:val="C0504D" w:themeColor="accent2"/>
          <w:lang w:val="en-GB"/>
        </w:rPr>
      </w:pPr>
    </w:p>
    <w:p w:rsidR="00775AC3" w:rsidRPr="004853F9" w:rsidRDefault="00775AC3" w:rsidP="003D4233">
      <w:pPr>
        <w:pStyle w:val="ListParagraph"/>
        <w:numPr>
          <w:ilvl w:val="0"/>
          <w:numId w:val="2"/>
        </w:numPr>
        <w:tabs>
          <w:tab w:val="clear" w:pos="360"/>
          <w:tab w:val="num" w:pos="450"/>
        </w:tabs>
        <w:suppressAutoHyphens w:val="0"/>
        <w:ind w:left="450" w:hanging="450"/>
        <w:contextualSpacing/>
        <w:jc w:val="both"/>
        <w:rPr>
          <w:color w:val="C0504D" w:themeColor="accent2"/>
          <w:lang w:val="en-GB"/>
        </w:rPr>
      </w:pPr>
      <w:r w:rsidRPr="004853F9">
        <w:rPr>
          <w:lang w:val="en-GB"/>
        </w:rPr>
        <w:t xml:space="preserve">A similar </w:t>
      </w:r>
      <w:r w:rsidR="004853F9" w:rsidRPr="004853F9">
        <w:rPr>
          <w:lang w:val="en-GB"/>
        </w:rPr>
        <w:t>i</w:t>
      </w:r>
      <w:r w:rsidRPr="004853F9">
        <w:rPr>
          <w:lang w:val="en-GB"/>
        </w:rPr>
        <w:t>dentification form</w:t>
      </w:r>
      <w:r w:rsidR="004853F9" w:rsidRPr="004853F9">
        <w:rPr>
          <w:lang w:val="en-GB"/>
        </w:rPr>
        <w:t>, dated 6 November 2001,</w:t>
      </w:r>
      <w:r w:rsidRPr="004853F9">
        <w:rPr>
          <w:lang w:val="en-GB"/>
        </w:rPr>
        <w:t xml:space="preserve"> provides the name and contact details for his mother. This form also states, among other things, that his ID card, which was with him when he was abducted, was later found “in Mališevo”.</w:t>
      </w:r>
      <w:r w:rsidR="004853F9">
        <w:rPr>
          <w:lang w:val="en-GB"/>
        </w:rPr>
        <w:t xml:space="preserve"> It cross-reference</w:t>
      </w:r>
      <w:r w:rsidR="00305A83">
        <w:rPr>
          <w:lang w:val="en-GB"/>
        </w:rPr>
        <w:t>s</w:t>
      </w:r>
      <w:r w:rsidR="004853F9">
        <w:rPr>
          <w:lang w:val="en-GB"/>
        </w:rPr>
        <w:t xml:space="preserve"> to the case no. 2000-00034</w:t>
      </w:r>
      <w:r w:rsidR="00305A83">
        <w:rPr>
          <w:lang w:val="en-GB"/>
        </w:rPr>
        <w:t>.</w:t>
      </w:r>
    </w:p>
    <w:p w:rsidR="004524C8" w:rsidRPr="004524C8" w:rsidRDefault="004524C8" w:rsidP="004524C8">
      <w:pPr>
        <w:pStyle w:val="ListParagraph"/>
        <w:rPr>
          <w:color w:val="C0504D" w:themeColor="accent2"/>
          <w:lang w:val="en-GB"/>
        </w:rPr>
      </w:pPr>
    </w:p>
    <w:p w:rsidR="00775AC3" w:rsidRPr="009D7DB5" w:rsidRDefault="00775AC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974FC5">
        <w:rPr>
          <w:lang w:val="en-GB"/>
        </w:rPr>
        <w:t>A printout from the MPU database in relation to the case no. 04</w:t>
      </w:r>
      <w:r w:rsidR="00974FC5" w:rsidRPr="00974FC5">
        <w:rPr>
          <w:lang w:val="en-GB"/>
        </w:rPr>
        <w:t>56</w:t>
      </w:r>
      <w:r w:rsidRPr="00974FC5">
        <w:rPr>
          <w:lang w:val="en-GB"/>
        </w:rPr>
        <w:t>/INV/0</w:t>
      </w:r>
      <w:r w:rsidR="00974FC5" w:rsidRPr="00974FC5">
        <w:rPr>
          <w:lang w:val="en-GB"/>
        </w:rPr>
        <w:t>4</w:t>
      </w:r>
      <w:r w:rsidRPr="00974FC5">
        <w:rPr>
          <w:lang w:val="en-GB"/>
        </w:rPr>
        <w:t xml:space="preserve">, dated </w:t>
      </w:r>
      <w:r w:rsidR="00974FC5" w:rsidRPr="00974FC5">
        <w:rPr>
          <w:lang w:val="en-GB"/>
        </w:rPr>
        <w:t>10</w:t>
      </w:r>
      <w:r w:rsidRPr="00974FC5">
        <w:rPr>
          <w:lang w:val="en-GB"/>
        </w:rPr>
        <w:t xml:space="preserve"> </w:t>
      </w:r>
      <w:r w:rsidR="00974FC5" w:rsidRPr="00974FC5">
        <w:rPr>
          <w:lang w:val="en-GB"/>
        </w:rPr>
        <w:t>Sept</w:t>
      </w:r>
      <w:r w:rsidRPr="00974FC5">
        <w:rPr>
          <w:lang w:val="en-GB"/>
        </w:rPr>
        <w:t xml:space="preserve">ember 2004, </w:t>
      </w:r>
      <w:r w:rsidR="00974FC5" w:rsidRPr="00974FC5">
        <w:rPr>
          <w:lang w:val="en-GB"/>
        </w:rPr>
        <w:t>provides brief information on the case</w:t>
      </w:r>
      <w:r w:rsidR="00974FC5">
        <w:rPr>
          <w:lang w:val="en-GB"/>
        </w:rPr>
        <w:t>. The field “Request Summary” states: “Due to technical problems with the database, the file had to be retyped on 21/04/04. It was given for investigation on 01/07/2004. There is a lack of information in this file.”  The field “Results” reads “Pending”.</w:t>
      </w:r>
    </w:p>
    <w:p w:rsidR="00775AC3" w:rsidRPr="00775AC3" w:rsidRDefault="00775AC3" w:rsidP="00775AC3">
      <w:pPr>
        <w:pStyle w:val="ListParagraph"/>
        <w:tabs>
          <w:tab w:val="num" w:pos="450"/>
        </w:tabs>
        <w:ind w:left="450" w:hanging="450"/>
        <w:rPr>
          <w:color w:val="C0504D" w:themeColor="accent2"/>
          <w:lang w:val="en-GB"/>
        </w:rPr>
      </w:pPr>
    </w:p>
    <w:p w:rsidR="00805773" w:rsidRPr="00CE3030" w:rsidRDefault="00775AC3" w:rsidP="003D4233">
      <w:pPr>
        <w:pStyle w:val="ListParagraph"/>
        <w:numPr>
          <w:ilvl w:val="0"/>
          <w:numId w:val="2"/>
        </w:numPr>
        <w:tabs>
          <w:tab w:val="num" w:pos="450"/>
        </w:tabs>
        <w:suppressAutoHyphens w:val="0"/>
        <w:ind w:left="450" w:hanging="450"/>
        <w:contextualSpacing/>
        <w:jc w:val="both"/>
        <w:rPr>
          <w:lang w:val="en-GB"/>
        </w:rPr>
      </w:pPr>
      <w:r w:rsidRPr="00CE3030">
        <w:rPr>
          <w:lang w:val="en-GB"/>
        </w:rPr>
        <w:t xml:space="preserve">An MPU </w:t>
      </w:r>
      <w:r w:rsidR="00AF1618" w:rsidRPr="003D4233">
        <w:rPr>
          <w:lang w:val="en-GB"/>
        </w:rPr>
        <w:t>Ante-Mortem Investigation Report</w:t>
      </w:r>
      <w:r w:rsidR="00AF1618" w:rsidRPr="00CE3030">
        <w:rPr>
          <w:lang w:val="en-GB"/>
        </w:rPr>
        <w:t xml:space="preserve"> </w:t>
      </w:r>
      <w:r w:rsidRPr="00CE3030">
        <w:rPr>
          <w:lang w:val="en-GB"/>
        </w:rPr>
        <w:t>on the MPU case no. 04</w:t>
      </w:r>
      <w:r w:rsidR="004853F9" w:rsidRPr="00CE3030">
        <w:rPr>
          <w:lang w:val="en-GB"/>
        </w:rPr>
        <w:t>56</w:t>
      </w:r>
      <w:r w:rsidRPr="00CE3030">
        <w:rPr>
          <w:lang w:val="en-GB"/>
        </w:rPr>
        <w:t>/INV/0</w:t>
      </w:r>
      <w:r w:rsidR="004853F9" w:rsidRPr="00CE3030">
        <w:rPr>
          <w:lang w:val="en-GB"/>
        </w:rPr>
        <w:t>4</w:t>
      </w:r>
      <w:r w:rsidRPr="00CE3030">
        <w:rPr>
          <w:lang w:val="en-GB"/>
        </w:rPr>
        <w:t xml:space="preserve"> in relation to the disappearance of </w:t>
      </w:r>
      <w:r w:rsidR="004853F9" w:rsidRPr="00CE3030">
        <w:t>Mr Miroslav Šuljinić</w:t>
      </w:r>
      <w:r w:rsidR="004853F9" w:rsidRPr="00CE3030">
        <w:rPr>
          <w:lang w:val="en-GB"/>
        </w:rPr>
        <w:t xml:space="preserve"> </w:t>
      </w:r>
      <w:r w:rsidRPr="00CE3030">
        <w:t xml:space="preserve">is </w:t>
      </w:r>
      <w:r w:rsidRPr="00CE3030">
        <w:rPr>
          <w:lang w:val="en-GB"/>
        </w:rPr>
        <w:t>cross-referenced to the investigation no. 2000-00</w:t>
      </w:r>
      <w:r w:rsidR="00805773" w:rsidRPr="00CE3030">
        <w:rPr>
          <w:lang w:val="en-GB"/>
        </w:rPr>
        <w:t>0034</w:t>
      </w:r>
      <w:r w:rsidRPr="00CE3030">
        <w:rPr>
          <w:lang w:val="en-GB"/>
        </w:rPr>
        <w:t xml:space="preserve">. This report was initiated on </w:t>
      </w:r>
      <w:r w:rsidR="00805773" w:rsidRPr="00CE3030">
        <w:rPr>
          <w:lang w:val="en-GB"/>
        </w:rPr>
        <w:t>1</w:t>
      </w:r>
      <w:r w:rsidRPr="00CE3030">
        <w:rPr>
          <w:lang w:val="en-GB"/>
        </w:rPr>
        <w:t xml:space="preserve"> </w:t>
      </w:r>
      <w:r w:rsidR="00805773" w:rsidRPr="00CE3030">
        <w:rPr>
          <w:lang w:val="en-GB"/>
        </w:rPr>
        <w:t xml:space="preserve">July </w:t>
      </w:r>
      <w:r w:rsidRPr="00CE3030">
        <w:rPr>
          <w:lang w:val="en-GB"/>
        </w:rPr>
        <w:t xml:space="preserve">2004 and completed on </w:t>
      </w:r>
      <w:r w:rsidR="00805773" w:rsidRPr="00CE3030">
        <w:rPr>
          <w:lang w:val="en-GB"/>
        </w:rPr>
        <w:t>9 August</w:t>
      </w:r>
      <w:r w:rsidRPr="00CE3030">
        <w:rPr>
          <w:lang w:val="en-GB"/>
        </w:rPr>
        <w:t xml:space="preserve"> 2004. </w:t>
      </w:r>
    </w:p>
    <w:p w:rsidR="00805773" w:rsidRPr="00805773" w:rsidRDefault="00805773" w:rsidP="00805773">
      <w:pPr>
        <w:pStyle w:val="ListParagraph"/>
        <w:rPr>
          <w:color w:val="C0504D" w:themeColor="accent2"/>
          <w:lang w:val="en-GB"/>
        </w:rPr>
      </w:pPr>
    </w:p>
    <w:p w:rsidR="00775AC3" w:rsidRPr="00974FC5" w:rsidRDefault="0080577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CE3030">
        <w:rPr>
          <w:lang w:val="en-GB"/>
        </w:rPr>
        <w:t>Its</w:t>
      </w:r>
      <w:r w:rsidR="00775AC3" w:rsidRPr="00CE3030">
        <w:rPr>
          <w:lang w:val="en-GB"/>
        </w:rPr>
        <w:t xml:space="preserve"> field “Background of the Case” </w:t>
      </w:r>
      <w:r w:rsidR="002F63F0" w:rsidRPr="00CE3030">
        <w:rPr>
          <w:lang w:val="en-GB"/>
        </w:rPr>
        <w:t xml:space="preserve">refers to the above-mentioned appearance of </w:t>
      </w:r>
      <w:r w:rsidR="002F63F0" w:rsidRPr="00CE3030">
        <w:t>Mr Miroslav Šuljinić’s father</w:t>
      </w:r>
      <w:r w:rsidR="002F63F0" w:rsidRPr="00CE3030">
        <w:rPr>
          <w:lang w:val="en-GB"/>
        </w:rPr>
        <w:t xml:space="preserve"> at the Leposavić P</w:t>
      </w:r>
      <w:r w:rsidRPr="00CE3030">
        <w:rPr>
          <w:lang w:val="en-GB"/>
        </w:rPr>
        <w:t xml:space="preserve">olice </w:t>
      </w:r>
      <w:r w:rsidR="002F63F0" w:rsidRPr="00CE3030">
        <w:rPr>
          <w:lang w:val="en-GB"/>
        </w:rPr>
        <w:t>S</w:t>
      </w:r>
      <w:r w:rsidRPr="00CE3030">
        <w:rPr>
          <w:lang w:val="en-GB"/>
        </w:rPr>
        <w:t>tation</w:t>
      </w:r>
      <w:r w:rsidR="002F63F0" w:rsidRPr="00CE3030">
        <w:rPr>
          <w:lang w:val="en-GB"/>
        </w:rPr>
        <w:t xml:space="preserve"> and summarises his statement</w:t>
      </w:r>
      <w:r w:rsidR="006023BF" w:rsidRPr="00CE3030">
        <w:rPr>
          <w:lang w:val="en-GB"/>
        </w:rPr>
        <w:t xml:space="preserve"> (s</w:t>
      </w:r>
      <w:r w:rsidR="006023BF" w:rsidRPr="009C2A5A">
        <w:rPr>
          <w:lang w:val="en-GB"/>
        </w:rPr>
        <w:t>ee</w:t>
      </w:r>
      <w:r w:rsidR="006023BF" w:rsidRPr="00CE3030">
        <w:rPr>
          <w:highlight w:val="yellow"/>
          <w:lang w:val="en-GB"/>
        </w:rPr>
        <w:t xml:space="preserve"> </w:t>
      </w:r>
      <w:r w:rsidR="006023BF" w:rsidRPr="009C2A5A">
        <w:rPr>
          <w:lang w:val="en-GB"/>
        </w:rPr>
        <w:t xml:space="preserve">§ </w:t>
      </w:r>
      <w:r w:rsidR="009F41BA" w:rsidRPr="009C2A5A">
        <w:rPr>
          <w:lang w:val="en-GB"/>
        </w:rPr>
        <w:fldChar w:fldCharType="begin"/>
      </w:r>
      <w:r w:rsidR="00CE3030" w:rsidRPr="009C2A5A">
        <w:rPr>
          <w:lang w:val="en-GB"/>
        </w:rPr>
        <w:instrText xml:space="preserve"> REF _Ref398285200 \r \h </w:instrText>
      </w:r>
      <w:r w:rsidR="009C2A5A">
        <w:rPr>
          <w:lang w:val="en-GB"/>
        </w:rPr>
        <w:instrText xml:space="preserve"> \* MERGEFORMAT </w:instrText>
      </w:r>
      <w:r w:rsidR="009F41BA" w:rsidRPr="009C2A5A">
        <w:rPr>
          <w:lang w:val="en-GB"/>
        </w:rPr>
      </w:r>
      <w:r w:rsidR="009F41BA" w:rsidRPr="009C2A5A">
        <w:rPr>
          <w:lang w:val="en-GB"/>
        </w:rPr>
        <w:fldChar w:fldCharType="separate"/>
      </w:r>
      <w:r w:rsidR="009C2A5A">
        <w:rPr>
          <w:lang w:val="en-GB"/>
        </w:rPr>
        <w:t>116</w:t>
      </w:r>
      <w:r w:rsidR="009F41BA" w:rsidRPr="009C2A5A">
        <w:rPr>
          <w:lang w:val="en-GB"/>
        </w:rPr>
        <w:fldChar w:fldCharType="end"/>
      </w:r>
      <w:r w:rsidR="00CE3030" w:rsidRPr="009C2A5A">
        <w:rPr>
          <w:lang w:val="en-GB"/>
        </w:rPr>
        <w:t xml:space="preserve"> </w:t>
      </w:r>
      <w:r w:rsidR="006023BF" w:rsidRPr="009C2A5A">
        <w:rPr>
          <w:lang w:val="en-GB"/>
        </w:rPr>
        <w:t>above</w:t>
      </w:r>
      <w:r w:rsidR="006023BF" w:rsidRPr="00CE3030">
        <w:rPr>
          <w:lang w:val="en-GB"/>
        </w:rPr>
        <w:t>)</w:t>
      </w:r>
      <w:r w:rsidR="002F63F0" w:rsidRPr="00CE3030">
        <w:rPr>
          <w:lang w:val="en-GB"/>
        </w:rPr>
        <w:t xml:space="preserve">. </w:t>
      </w:r>
      <w:r w:rsidR="00974FC5" w:rsidRPr="00CE3030">
        <w:rPr>
          <w:lang w:val="en-GB"/>
        </w:rPr>
        <w:t xml:space="preserve">This part of the report further states that in </w:t>
      </w:r>
      <w:r w:rsidR="00305A83">
        <w:rPr>
          <w:lang w:val="en-GB"/>
        </w:rPr>
        <w:t xml:space="preserve">the </w:t>
      </w:r>
      <w:r w:rsidR="00974FC5" w:rsidRPr="00CE3030">
        <w:rPr>
          <w:lang w:val="en-GB"/>
        </w:rPr>
        <w:t xml:space="preserve">summer </w:t>
      </w:r>
      <w:r w:rsidR="00305A83">
        <w:rPr>
          <w:lang w:val="en-GB"/>
        </w:rPr>
        <w:t xml:space="preserve">of </w:t>
      </w:r>
      <w:r w:rsidR="00974FC5" w:rsidRPr="00CE3030">
        <w:rPr>
          <w:lang w:val="en-GB"/>
        </w:rPr>
        <w:t>2004, the MPU made efforts to locate and interview him. The interview had eventually taken place on 5</w:t>
      </w:r>
      <w:r w:rsidR="00974FC5">
        <w:rPr>
          <w:lang w:val="en-GB"/>
        </w:rPr>
        <w:t xml:space="preserve"> August 2004, in the same Police Station.</w:t>
      </w:r>
    </w:p>
    <w:p w:rsidR="00974FC5" w:rsidRPr="00974FC5" w:rsidRDefault="00974FC5" w:rsidP="00974FC5">
      <w:pPr>
        <w:pStyle w:val="ListParagraph"/>
        <w:rPr>
          <w:lang w:val="en-GB"/>
        </w:rPr>
      </w:pPr>
    </w:p>
    <w:p w:rsidR="00974FC5" w:rsidRDefault="00974FC5" w:rsidP="003D4233">
      <w:pPr>
        <w:pStyle w:val="ListParagraph"/>
        <w:numPr>
          <w:ilvl w:val="0"/>
          <w:numId w:val="2"/>
        </w:numPr>
        <w:tabs>
          <w:tab w:val="num" w:pos="450"/>
        </w:tabs>
        <w:suppressAutoHyphens w:val="0"/>
        <w:ind w:left="450" w:hanging="450"/>
        <w:contextualSpacing/>
        <w:jc w:val="both"/>
        <w:rPr>
          <w:lang w:val="en-GB"/>
        </w:rPr>
      </w:pPr>
      <w:r w:rsidRPr="00974FC5">
        <w:rPr>
          <w:lang w:val="en-GB"/>
        </w:rPr>
        <w:t>The Field “Conclusion” of this report reads: “In</w:t>
      </w:r>
      <w:r w:rsidR="006023BF">
        <w:rPr>
          <w:lang w:val="en-GB"/>
        </w:rPr>
        <w:t xml:space="preserve"> </w:t>
      </w:r>
      <w:r w:rsidRPr="00974FC5">
        <w:rPr>
          <w:lang w:val="en-GB"/>
        </w:rPr>
        <w:t>my opinion, the father of the MP is deliberately not revealing the names and particulars of other witnesses who could be interviewed to elicit further information in the instant case because of their security concern. In absence of any input that could facilitate in further probe in the case, it is recommended that the case be kept pending.”</w:t>
      </w:r>
    </w:p>
    <w:p w:rsidR="006023BF" w:rsidRPr="006023BF"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r>
        <w:rPr>
          <w:lang w:val="en-GB"/>
        </w:rPr>
        <w:t>By an e-mail, dated 9 August 2004, an MPU officer M.K. informed the ICRC office in Prishtin</w:t>
      </w:r>
      <w:r>
        <w:rPr>
          <w:lang w:val="ru-RU"/>
        </w:rPr>
        <w:t>ё</w:t>
      </w:r>
      <w:r>
        <w:t xml:space="preserve">/Priština that the MPU had conducted inquiries into the case of Mr </w:t>
      </w:r>
      <w:r w:rsidRPr="004853F9">
        <w:rPr>
          <w:lang w:val="en-GB"/>
        </w:rPr>
        <w:t>Jeremija Šuljinić</w:t>
      </w:r>
      <w:r>
        <w:rPr>
          <w:lang w:val="en-GB"/>
        </w:rPr>
        <w:t xml:space="preserve">’s disappearance and re-interviewed “witnesses”. According to this officer, there </w:t>
      </w:r>
      <w:r w:rsidRPr="00CA10B4">
        <w:rPr>
          <w:lang w:val="en-GB"/>
        </w:rPr>
        <w:t>was “little information as to the circumstances of his disappearance … The only information is that [</w:t>
      </w:r>
      <w:r w:rsidRPr="00CA10B4">
        <w:t xml:space="preserve">Mr </w:t>
      </w:r>
      <w:r w:rsidRPr="00CA10B4">
        <w:rPr>
          <w:lang w:val="en-GB"/>
        </w:rPr>
        <w:t>Jeremija Šuljinić] left home on 21 May 1998 and that on, or little after that date, it is believed that he was detained by KLA members in the village of LEPOSAVIC.”</w:t>
      </w:r>
    </w:p>
    <w:p w:rsidR="006023BF" w:rsidRPr="00CA10B4"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bookmarkStart w:id="42" w:name="_Ref398292589"/>
      <w:r w:rsidRPr="00CA10B4">
        <w:rPr>
          <w:lang w:val="en-GB"/>
        </w:rPr>
        <w:t>No further investigative documents in relation to this victim are on file.</w:t>
      </w:r>
      <w:bookmarkEnd w:id="42"/>
    </w:p>
    <w:p w:rsidR="00775AC3" w:rsidRPr="00CA10B4" w:rsidRDefault="00775AC3" w:rsidP="00775AC3">
      <w:pPr>
        <w:ind w:left="450"/>
        <w:jc w:val="both"/>
        <w:rPr>
          <w:lang w:val="en-GB"/>
        </w:rPr>
      </w:pPr>
    </w:p>
    <w:p w:rsidR="00D31B12" w:rsidRPr="00CA10B4" w:rsidRDefault="00EC7108" w:rsidP="00F0555D">
      <w:pPr>
        <w:pStyle w:val="ListParagraph"/>
        <w:numPr>
          <w:ilvl w:val="0"/>
          <w:numId w:val="14"/>
        </w:numPr>
        <w:ind w:left="270" w:hanging="270"/>
        <w:jc w:val="both"/>
        <w:rPr>
          <w:i/>
          <w:lang w:val="en-GB"/>
        </w:rPr>
      </w:pPr>
      <w:r w:rsidRPr="00CA10B4">
        <w:rPr>
          <w:i/>
          <w:lang w:val="en-GB"/>
        </w:rPr>
        <w:lastRenderedPageBreak/>
        <w:t>ICTY Proceedings in relation to all victims</w:t>
      </w:r>
    </w:p>
    <w:p w:rsidR="00D31B12" w:rsidRPr="00CA10B4" w:rsidRDefault="00D31B12" w:rsidP="00BE00C5">
      <w:pPr>
        <w:pStyle w:val="ListParagraph"/>
        <w:rPr>
          <w:lang w:val="en-GB"/>
        </w:rPr>
      </w:pPr>
    </w:p>
    <w:p w:rsidR="009775E7" w:rsidRPr="00CA10B4" w:rsidRDefault="002D4761" w:rsidP="003D4233">
      <w:pPr>
        <w:numPr>
          <w:ilvl w:val="0"/>
          <w:numId w:val="2"/>
        </w:numPr>
        <w:tabs>
          <w:tab w:val="clear" w:pos="360"/>
          <w:tab w:val="num" w:pos="450"/>
        </w:tabs>
        <w:ind w:left="450" w:hanging="450"/>
        <w:jc w:val="both"/>
        <w:rPr>
          <w:lang w:val="en-GB"/>
        </w:rPr>
      </w:pPr>
      <w:bookmarkStart w:id="43" w:name="_Ref391911144"/>
      <w:r w:rsidRPr="00CA10B4">
        <w:rPr>
          <w:lang w:val="en-GB"/>
        </w:rPr>
        <w:t>It appears that the circumstances of the abductions and disappearances of Mr Slobodan</w:t>
      </w:r>
      <w:r w:rsidRPr="00CA10B4">
        <w:t xml:space="preserve"> Mitrović, Mr Milovan </w:t>
      </w:r>
      <w:r w:rsidRPr="00CA10B4">
        <w:rPr>
          <w:bCs/>
        </w:rPr>
        <w:t>Krstić,</w:t>
      </w:r>
      <w:r w:rsidRPr="00CA10B4">
        <w:t xml:space="preserve"> Mr </w:t>
      </w:r>
      <w:r w:rsidRPr="00CA10B4">
        <w:rPr>
          <w:bCs/>
        </w:rPr>
        <w:t>Miodrag Krsti</w:t>
      </w:r>
      <w:r w:rsidRPr="00CA10B4">
        <w:rPr>
          <w:bCs/>
          <w:lang w:val="sr-Latn-CS"/>
        </w:rPr>
        <w:t xml:space="preserve">ć, </w:t>
      </w:r>
      <w:r w:rsidRPr="00CA10B4">
        <w:t xml:space="preserve">Mr Živorad Krstić and Mr Miroslav Šuljinić were investigated by the International Criminal Tribunal for the former Yugoslavia (ICTY) in the proceedings in the </w:t>
      </w:r>
      <w:r w:rsidR="001416CD" w:rsidRPr="00CA10B4">
        <w:t xml:space="preserve">case </w:t>
      </w:r>
      <w:r w:rsidR="001416CD" w:rsidRPr="00CA10B4">
        <w:rPr>
          <w:i/>
        </w:rPr>
        <w:t>Prosecutor v. Fatmir Limaj</w:t>
      </w:r>
      <w:r w:rsidR="00B81D94" w:rsidRPr="00CA10B4">
        <w:rPr>
          <w:i/>
        </w:rPr>
        <w:t>, Haradin</w:t>
      </w:r>
      <w:r w:rsidR="00B81D94" w:rsidRPr="00CA10B4">
        <w:rPr>
          <w:i/>
          <w:lang w:val="en-GB"/>
        </w:rPr>
        <w:t xml:space="preserve"> Bala and Isak Musliu</w:t>
      </w:r>
      <w:r w:rsidR="001416CD" w:rsidRPr="00CA10B4">
        <w:t xml:space="preserve"> (IT-03-66)</w:t>
      </w:r>
      <w:r w:rsidRPr="00CA10B4">
        <w:t>.</w:t>
      </w:r>
      <w:r w:rsidR="009775E7" w:rsidRPr="00CA10B4">
        <w:t xml:space="preserve"> The accused in that case had been charged with </w:t>
      </w:r>
      <w:r w:rsidR="00305A83">
        <w:t>m</w:t>
      </w:r>
      <w:r w:rsidR="009775E7" w:rsidRPr="00CA10B4">
        <w:t>urder, cruel treatment, torture, inhumane acts, under Articles 3, 5 and 7 of the ICTY Statute.</w:t>
      </w:r>
      <w:bookmarkEnd w:id="43"/>
      <w:r w:rsidR="009775E7" w:rsidRPr="00CA10B4">
        <w:t xml:space="preserve"> </w:t>
      </w:r>
    </w:p>
    <w:p w:rsidR="009775E7" w:rsidRPr="00CA10B4" w:rsidRDefault="009775E7" w:rsidP="009775E7">
      <w:pPr>
        <w:ind w:left="360"/>
        <w:jc w:val="both"/>
        <w:rPr>
          <w:lang w:val="en-GB"/>
        </w:rPr>
      </w:pPr>
    </w:p>
    <w:p w:rsidR="009775E7" w:rsidRPr="00CA10B4" w:rsidRDefault="009775E7" w:rsidP="003D4233">
      <w:pPr>
        <w:numPr>
          <w:ilvl w:val="0"/>
          <w:numId w:val="2"/>
        </w:numPr>
        <w:tabs>
          <w:tab w:val="clear" w:pos="360"/>
          <w:tab w:val="num" w:pos="450"/>
        </w:tabs>
        <w:ind w:left="450" w:hanging="450"/>
        <w:jc w:val="both"/>
        <w:rPr>
          <w:lang w:val="en-GB"/>
        </w:rPr>
      </w:pPr>
      <w:bookmarkStart w:id="44" w:name="_Ref398285234"/>
      <w:r w:rsidRPr="00CA10B4">
        <w:t xml:space="preserve">This investigation </w:t>
      </w:r>
      <w:r w:rsidR="00F30730" w:rsidRPr="00CA10B4">
        <w:t xml:space="preserve">apparently </w:t>
      </w:r>
      <w:r w:rsidRPr="00CA10B4">
        <w:t xml:space="preserve">concentrated on the “operation of the Lapušnik/Llapushnik Prison Camp of the KLA </w:t>
      </w:r>
      <w:r w:rsidR="00C1077C" w:rsidRPr="00CA10B4">
        <w:t>(hereinafter Lapušnik/Llapushnik Prison Camp)</w:t>
      </w:r>
      <w:r w:rsidRPr="00CA10B4">
        <w:t xml:space="preserve">…, located in the municipality of Glogovac/Gllogovc.” </w:t>
      </w:r>
      <w:r w:rsidR="00567405">
        <w:t xml:space="preserve">The first indictment on the matter was filed on 24 January 2003 (IT-03-66-I) and the Second Amended Indictment </w:t>
      </w:r>
      <w:r w:rsidR="00567405" w:rsidRPr="00CA10B4">
        <w:t>on 6 November 2003 (IT-03-66-PT)</w:t>
      </w:r>
      <w:r w:rsidR="00567405">
        <w:t xml:space="preserve">. </w:t>
      </w:r>
      <w:r w:rsidRPr="00CA10B4">
        <w:t xml:space="preserve">Below is an excerpt from the </w:t>
      </w:r>
      <w:r w:rsidR="00567405">
        <w:t>s</w:t>
      </w:r>
      <w:r w:rsidR="001416CD" w:rsidRPr="00CA10B4">
        <w:t xml:space="preserve">econd </w:t>
      </w:r>
      <w:r w:rsidR="00567405">
        <w:t>indictment</w:t>
      </w:r>
      <w:r w:rsidRPr="00CA10B4">
        <w:t>:</w:t>
      </w:r>
      <w:bookmarkEnd w:id="44"/>
    </w:p>
    <w:p w:rsidR="009775E7" w:rsidRPr="00CA10B4" w:rsidRDefault="009775E7" w:rsidP="009775E7">
      <w:pPr>
        <w:pStyle w:val="ListParagraph"/>
      </w:pPr>
    </w:p>
    <w:p w:rsidR="00C1077C" w:rsidRPr="00477162" w:rsidRDefault="00477162" w:rsidP="00477162">
      <w:pPr>
        <w:pStyle w:val="ListParagraph"/>
        <w:spacing w:after="120"/>
        <w:ind w:left="630" w:right="270"/>
        <w:jc w:val="both"/>
        <w:rPr>
          <w:lang w:val="en-GB"/>
        </w:rPr>
      </w:pPr>
      <w:r>
        <w:t xml:space="preserve">30. </w:t>
      </w:r>
      <w:r w:rsidR="009775E7" w:rsidRPr="00CA10B4">
        <w:t>On a date after 24 June but before 2</w:t>
      </w:r>
      <w:r w:rsidR="00C1077C" w:rsidRPr="00CA10B4">
        <w:t>6</w:t>
      </w:r>
      <w:r w:rsidR="009775E7" w:rsidRPr="00CA10B4">
        <w:t xml:space="preserve"> Ju</w:t>
      </w:r>
      <w:r w:rsidR="00C1077C" w:rsidRPr="00CA10B4">
        <w:t>ly</w:t>
      </w:r>
      <w:r w:rsidR="009775E7" w:rsidRPr="00CA10B4">
        <w:t xml:space="preserve"> 1998, KLA forces under control of Fatmir LIMAJ and Isak MUSLIU murdered a number of Serb and non-Albanian detainees at the </w:t>
      </w:r>
      <w:r w:rsidR="00C1077C" w:rsidRPr="00CA10B4">
        <w:t>Lapušnik/Llapushnik Prison Camp, whose names are set forth in Annex I to this indictment.</w:t>
      </w:r>
    </w:p>
    <w:p w:rsidR="00C1077C" w:rsidRPr="00477162" w:rsidRDefault="00C1077C" w:rsidP="00477162">
      <w:pPr>
        <w:tabs>
          <w:tab w:val="left" w:pos="720"/>
        </w:tabs>
        <w:ind w:left="720"/>
        <w:jc w:val="both"/>
        <w:rPr>
          <w:lang w:val="en-GB"/>
        </w:rPr>
      </w:pPr>
      <w:r w:rsidRPr="00477162">
        <w:rPr>
          <w:lang w:val="en-GB"/>
        </w:rPr>
        <w:t>…</w:t>
      </w:r>
    </w:p>
    <w:p w:rsidR="00C1077C" w:rsidRPr="00477162" w:rsidRDefault="00C1077C" w:rsidP="00477162">
      <w:pPr>
        <w:tabs>
          <w:tab w:val="left" w:pos="720"/>
        </w:tabs>
        <w:ind w:left="720"/>
        <w:jc w:val="center"/>
        <w:rPr>
          <w:b/>
          <w:lang w:val="en-GB"/>
        </w:rPr>
      </w:pPr>
      <w:r w:rsidRPr="00477162">
        <w:rPr>
          <w:b/>
          <w:lang w:val="en-GB"/>
        </w:rPr>
        <w:t>Annex I</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Paragraph 30: Detainees murdered between 24 June and 26 July 1998 at the Lapušnik/Llapushnik Prison Camp:</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Milovan Krstić</w:t>
      </w:r>
    </w:p>
    <w:p w:rsidR="00C1077C" w:rsidRPr="00477162" w:rsidRDefault="00C1077C" w:rsidP="00477162">
      <w:pPr>
        <w:tabs>
          <w:tab w:val="left" w:pos="720"/>
        </w:tabs>
        <w:ind w:left="720"/>
        <w:jc w:val="both"/>
        <w:rPr>
          <w:lang w:val="en-GB"/>
        </w:rPr>
      </w:pPr>
      <w:r w:rsidRPr="00477162">
        <w:rPr>
          <w:lang w:val="en-GB"/>
        </w:rPr>
        <w:t>Miodrag Krstić</w:t>
      </w:r>
    </w:p>
    <w:p w:rsidR="00C1077C" w:rsidRPr="00477162" w:rsidRDefault="00C1077C" w:rsidP="00477162">
      <w:pPr>
        <w:tabs>
          <w:tab w:val="left" w:pos="720"/>
        </w:tabs>
        <w:ind w:left="720"/>
        <w:jc w:val="both"/>
        <w:rPr>
          <w:lang w:val="en-GB"/>
        </w:rPr>
      </w:pPr>
      <w:r w:rsidRPr="00477162">
        <w:rPr>
          <w:lang w:val="en-GB"/>
        </w:rPr>
        <w:t>Slobodan, aka Boban, Mitrović</w:t>
      </w:r>
    </w:p>
    <w:p w:rsidR="00C1077C" w:rsidRPr="00477162" w:rsidRDefault="00C1077C" w:rsidP="00477162">
      <w:pPr>
        <w:tabs>
          <w:tab w:val="left" w:pos="720"/>
        </w:tabs>
        <w:ind w:left="720"/>
        <w:jc w:val="both"/>
        <w:rPr>
          <w:lang w:val="en-GB"/>
        </w:rPr>
      </w:pPr>
      <w:r w:rsidRPr="00477162">
        <w:rPr>
          <w:lang w:val="en-GB"/>
        </w:rPr>
        <w:t>Miroslav Šuljinić</w:t>
      </w:r>
    </w:p>
    <w:p w:rsidR="002D4761" w:rsidRPr="00477162" w:rsidRDefault="00C1077C" w:rsidP="00477162">
      <w:pPr>
        <w:tabs>
          <w:tab w:val="left" w:pos="720"/>
        </w:tabs>
        <w:ind w:left="720"/>
        <w:jc w:val="both"/>
        <w:rPr>
          <w:lang w:val="en-GB"/>
        </w:rPr>
      </w:pPr>
      <w:r w:rsidRPr="00477162">
        <w:rPr>
          <w:lang w:val="en-GB"/>
        </w:rPr>
        <w:t xml:space="preserve">Živorad Krstić </w:t>
      </w:r>
    </w:p>
    <w:p w:rsidR="00C1077C" w:rsidRPr="00CA10B4" w:rsidRDefault="00C1077C" w:rsidP="00C1077C">
      <w:pPr>
        <w:tabs>
          <w:tab w:val="left" w:pos="720"/>
        </w:tabs>
        <w:ind w:left="720"/>
        <w:jc w:val="both"/>
        <w:rPr>
          <w:lang w:val="en-GB"/>
        </w:rPr>
      </w:pPr>
      <w:r w:rsidRPr="00477162">
        <w:rPr>
          <w:lang w:val="en-GB"/>
        </w:rPr>
        <w:t>…</w:t>
      </w:r>
    </w:p>
    <w:p w:rsidR="00413356" w:rsidRPr="00CA10B4" w:rsidRDefault="00413356" w:rsidP="00413356">
      <w:pPr>
        <w:pStyle w:val="ListParagraph"/>
        <w:jc w:val="both"/>
        <w:rPr>
          <w:lang w:val="en-GB"/>
        </w:rPr>
      </w:pPr>
    </w:p>
    <w:p w:rsidR="00413356" w:rsidRPr="00CA10B4" w:rsidRDefault="00413356" w:rsidP="003D4233">
      <w:pPr>
        <w:numPr>
          <w:ilvl w:val="0"/>
          <w:numId w:val="2"/>
        </w:numPr>
        <w:tabs>
          <w:tab w:val="clear" w:pos="360"/>
          <w:tab w:val="num" w:pos="450"/>
        </w:tabs>
        <w:ind w:left="450" w:hanging="450"/>
        <w:jc w:val="both"/>
        <w:rPr>
          <w:lang w:val="en-GB"/>
        </w:rPr>
      </w:pPr>
      <w:bookmarkStart w:id="45" w:name="_Ref398312565"/>
      <w:r w:rsidRPr="00CA10B4">
        <w:rPr>
          <w:lang w:val="en-GB"/>
        </w:rPr>
        <w:t xml:space="preserve">The </w:t>
      </w:r>
      <w:r w:rsidRPr="00CA10B4">
        <w:t>following</w:t>
      </w:r>
      <w:r w:rsidRPr="00CA10B4">
        <w:rPr>
          <w:lang w:val="en-GB"/>
        </w:rPr>
        <w:t xml:space="preserve"> is </w:t>
      </w:r>
      <w:r w:rsidR="007D6162" w:rsidRPr="00CA10B4">
        <w:rPr>
          <w:lang w:val="en-GB"/>
        </w:rPr>
        <w:t>an</w:t>
      </w:r>
      <w:r w:rsidRPr="00CA10B4">
        <w:t xml:space="preserve"> excerpt from the ICTY Trial Chambers Judgment </w:t>
      </w:r>
      <w:r w:rsidR="007D6162" w:rsidRPr="00CA10B4">
        <w:t>in the same case</w:t>
      </w:r>
      <w:r w:rsidR="00B81D94" w:rsidRPr="00CA10B4">
        <w:t>, dated 30 November 2005 (IT-03-66-T):</w:t>
      </w:r>
      <w:bookmarkEnd w:id="45"/>
    </w:p>
    <w:p w:rsidR="001416CD" w:rsidRPr="00CA10B4" w:rsidRDefault="00B164C3" w:rsidP="00477162">
      <w:pPr>
        <w:pStyle w:val="ListParagraph"/>
        <w:ind w:left="630" w:right="270" w:firstLine="187"/>
        <w:rPr>
          <w:lang w:val="en-GB"/>
        </w:rPr>
      </w:pPr>
      <w:r w:rsidRPr="00CA10B4">
        <w:rPr>
          <w:lang w:val="en-GB"/>
        </w:rPr>
        <w:t>…</w:t>
      </w:r>
    </w:p>
    <w:p w:rsidR="00B164C3" w:rsidRPr="00CA10B4" w:rsidRDefault="00B164C3" w:rsidP="00477162">
      <w:pPr>
        <w:pStyle w:val="ListParagraph"/>
        <w:spacing w:after="120"/>
        <w:ind w:left="630" w:right="270"/>
        <w:jc w:val="both"/>
      </w:pPr>
      <w:r w:rsidRPr="00CA10B4">
        <w:t xml:space="preserve">263. At about 1900 hours L07 and “Shale” went to the room located upstairs on the first floor to watch television. L07 spent the night together with two “Croatians,” a father and son, abducted from the road in Carraleve/Crnoljevo and two Kosovo Albanians, Faruk Gashi from Shtime/Stimlje and Gzim Emini from Carraleve/Crnoljevo who were wearing civilian clothes. On the following day L07 was taken to a room, later identified as the storage room, where he was detained for two days and one night. Six Kosovo Albanians and six Serbs were already detained in that room; Lutfi from Breg-i-Zi/Crni Breg, Witness L10, and Adem from Godanc/Godance, a Serb named Mija from Recani, Halim Budakova, a former Serbian policeman in Shtime/Stimlje who had been shot in both knees, and two other Serbs. L07 was also able to recognize the photographs of Miodrag Krstić, Milovan Krstić and Slobodan Mitrović as having been among the </w:t>
      </w:r>
      <w:r w:rsidRPr="00CA10B4">
        <w:lastRenderedPageBreak/>
        <w:t>prisoners held in the storage room. L07 stated that the room was guarded by Shala. There were other KLA guards in the camp: a masked soldier called Hoxha who beat the prisoners on two occasions, and Murrizi.</w:t>
      </w:r>
    </w:p>
    <w:p w:rsidR="00B164C3" w:rsidRPr="00CA10B4" w:rsidRDefault="00B164C3" w:rsidP="00477162">
      <w:pPr>
        <w:pStyle w:val="ListParagraph"/>
        <w:ind w:left="630" w:right="270" w:firstLine="187"/>
        <w:rPr>
          <w:lang w:val="en-GB"/>
        </w:rPr>
      </w:pPr>
      <w:r w:rsidRPr="00CA10B4">
        <w:rPr>
          <w:lang w:val="en-GB"/>
        </w:rPr>
        <w:t>…</w:t>
      </w:r>
    </w:p>
    <w:p w:rsidR="00413356" w:rsidRPr="00CA10B4" w:rsidRDefault="00413356" w:rsidP="00477162">
      <w:pPr>
        <w:autoSpaceDE w:val="0"/>
        <w:autoSpaceDN w:val="0"/>
        <w:adjustRightInd w:val="0"/>
        <w:spacing w:after="120"/>
        <w:ind w:left="630" w:right="270" w:firstLine="720"/>
        <w:jc w:val="both"/>
      </w:pPr>
      <w:r w:rsidRPr="00CA10B4">
        <w:t xml:space="preserve">(x) </w:t>
      </w:r>
      <w:r w:rsidRPr="00CA10B4">
        <w:rPr>
          <w:u w:val="single"/>
        </w:rPr>
        <w:t>Milovan Krsti</w:t>
      </w:r>
      <w:r w:rsidR="00B164C3" w:rsidRPr="00CA10B4">
        <w:rPr>
          <w:u w:val="single"/>
        </w:rPr>
        <w:t>ć</w:t>
      </w:r>
      <w:r w:rsidRPr="00CA10B4">
        <w:rPr>
          <w:u w:val="single"/>
        </w:rPr>
        <w:t xml:space="preserve"> and Miodrag Krsti</w:t>
      </w:r>
      <w:r w:rsidR="00B164C3" w:rsidRPr="00CA10B4">
        <w:rPr>
          <w:u w:val="single"/>
        </w:rPr>
        <w:t>ć</w:t>
      </w:r>
    </w:p>
    <w:p w:rsidR="00413356" w:rsidRPr="00CA10B4" w:rsidRDefault="00413356" w:rsidP="00477162">
      <w:pPr>
        <w:pStyle w:val="ListParagraph"/>
        <w:spacing w:after="120"/>
        <w:ind w:left="630" w:right="270"/>
        <w:jc w:val="both"/>
      </w:pPr>
      <w:r w:rsidRPr="00CA10B4">
        <w:t>339. Ljiljana Mitrovi</w:t>
      </w:r>
      <w:r w:rsidR="00B164C3" w:rsidRPr="00CA10B4">
        <w:t>ć</w:t>
      </w:r>
      <w:r w:rsidRPr="00CA10B4">
        <w:t xml:space="preserve"> testified that, on 24 June 1998, Slobodan Mitrovi</w:t>
      </w:r>
      <w:r w:rsidR="00B164C3" w:rsidRPr="00CA10B4">
        <w:t>ć</w:t>
      </w:r>
      <w:r w:rsidRPr="00CA10B4">
        <w:t xml:space="preserve"> and Milovan </w:t>
      </w:r>
      <w:r w:rsidR="00B164C3" w:rsidRPr="00CA10B4">
        <w:t xml:space="preserve">Krstić </w:t>
      </w:r>
      <w:r w:rsidRPr="00CA10B4">
        <w:t xml:space="preserve">collected Miodrag </w:t>
      </w:r>
      <w:r w:rsidR="00B164C3" w:rsidRPr="00CA10B4">
        <w:t>Krstić</w:t>
      </w:r>
      <w:r w:rsidRPr="00CA10B4">
        <w:t xml:space="preserve"> from a hospital in Belgrade and departed for Reqan/Re</w:t>
      </w:r>
      <w:r w:rsidR="00B164C3" w:rsidRPr="00CA10B4">
        <w:t>č</w:t>
      </w:r>
      <w:r w:rsidRPr="00CA10B4">
        <w:t>ane in Kosovo. They were travelling in a navy blue Volkswagen Golf. They stopped at Krusheve/Krusevac. No more was heard from them. Having arrived in Kosovo to search for her husband, Slobodan Mitrovi</w:t>
      </w:r>
      <w:r w:rsidR="00B164C3" w:rsidRPr="00CA10B4">
        <w:t>ć</w:t>
      </w:r>
      <w:r w:rsidRPr="00CA10B4">
        <w:t>, Ljiljana Mitrovi</w:t>
      </w:r>
      <w:r w:rsidR="00B164C3" w:rsidRPr="00CA10B4">
        <w:t>ć</w:t>
      </w:r>
      <w:r w:rsidRPr="00CA10B4">
        <w:t xml:space="preserve"> was told by Abdyl Kryeziu that Slobodan Mitrovi</w:t>
      </w:r>
      <w:r w:rsidR="00B164C3" w:rsidRPr="00CA10B4">
        <w:t>ć</w:t>
      </w:r>
      <w:r w:rsidRPr="00CA10B4">
        <w:t xml:space="preserve"> and the Krsti</w:t>
      </w:r>
      <w:r w:rsidR="00B164C3" w:rsidRPr="00CA10B4">
        <w:t>ć</w:t>
      </w:r>
      <w:r w:rsidRPr="00CA10B4">
        <w:t xml:space="preserve"> brothers, all ethnic Serbs, had been kidnapped in Carraleve/Crnoljevo and taken in the direction of Malisheve/Malisevo. Slobodanka Krsti</w:t>
      </w:r>
      <w:r w:rsidR="00B164C3" w:rsidRPr="00CA10B4">
        <w:t>ć</w:t>
      </w:r>
      <w:r w:rsidRPr="00CA10B4">
        <w:t xml:space="preserve"> stated that her late husband’s brother told her he saw Miodrag Krsti</w:t>
      </w:r>
      <w:r w:rsidR="00B164C3" w:rsidRPr="00CA10B4">
        <w:t>ć</w:t>
      </w:r>
      <w:r w:rsidRPr="00CA10B4">
        <w:t>’s car in Malisheve/Malisevo one month after the kidnapping, driven by a Kosovo Albanian from Malisheve/Malisevo called Liman.</w:t>
      </w:r>
    </w:p>
    <w:p w:rsidR="00413356" w:rsidRPr="00CA10B4" w:rsidRDefault="00413356" w:rsidP="00477162">
      <w:pPr>
        <w:pStyle w:val="ListParagraph"/>
        <w:spacing w:after="120"/>
        <w:ind w:left="630" w:right="270"/>
        <w:jc w:val="both"/>
      </w:pPr>
      <w:r w:rsidRPr="00CA10B4">
        <w:t>340. Numerous individuals identified both Milovan Krsti</w:t>
      </w:r>
      <w:r w:rsidR="00B164C3" w:rsidRPr="00CA10B4">
        <w:t xml:space="preserve">ć </w:t>
      </w:r>
      <w:r w:rsidRPr="00CA10B4">
        <w:t>and Miodrag Krsti</w:t>
      </w:r>
      <w:r w:rsidR="00B164C3" w:rsidRPr="00CA10B4">
        <w:t xml:space="preserve">ć </w:t>
      </w:r>
      <w:r w:rsidRPr="00CA10B4">
        <w:t xml:space="preserve">as prisoners in the storage room at the Llapushnik/Lapusnik prison camp. Ivan </w:t>
      </w:r>
      <w:r w:rsidR="00B164C3" w:rsidRPr="00CA10B4">
        <w:t>Bakrać</w:t>
      </w:r>
      <w:r w:rsidRPr="00CA10B4">
        <w:t xml:space="preserve"> testified that Milovan Krsti</w:t>
      </w:r>
      <w:r w:rsidR="00B164C3" w:rsidRPr="00CA10B4">
        <w:t>ć</w:t>
      </w:r>
      <w:r w:rsidRPr="00CA10B4">
        <w:t xml:space="preserve"> recounted to him how he was brought there. Ivan </w:t>
      </w:r>
      <w:r w:rsidR="00B164C3" w:rsidRPr="00CA10B4">
        <w:t>Bakrać</w:t>
      </w:r>
      <w:r w:rsidRPr="00CA10B4">
        <w:t xml:space="preserve"> stated that Milovan Krsti</w:t>
      </w:r>
      <w:r w:rsidR="00B164C3" w:rsidRPr="00CA10B4">
        <w:t>ć</w:t>
      </w:r>
      <w:r w:rsidRPr="00CA10B4">
        <w:t xml:space="preserve"> told him that he was brought to a school in his own car, which Ivan </w:t>
      </w:r>
      <w:r w:rsidR="00B164C3" w:rsidRPr="00CA10B4">
        <w:t>Bakrać</w:t>
      </w:r>
      <w:r w:rsidRPr="00CA10B4">
        <w:t xml:space="preserve"> said was a navy blue Volkswagen Golf. Vojko </w:t>
      </w:r>
      <w:r w:rsidR="00B164C3" w:rsidRPr="00CA10B4">
        <w:t>Bakrać</w:t>
      </w:r>
      <w:r w:rsidRPr="00CA10B4">
        <w:t xml:space="preserve"> gave evidence that he heard the same account from the “Krsti</w:t>
      </w:r>
      <w:r w:rsidR="00B164C3" w:rsidRPr="00CA10B4">
        <w:t>ć</w:t>
      </w:r>
      <w:r w:rsidRPr="00CA10B4">
        <w:t xml:space="preserve"> brothers.” Personal documents belonging to Milovan Krsti</w:t>
      </w:r>
      <w:r w:rsidR="00B164C3" w:rsidRPr="00CA10B4">
        <w:t>ć</w:t>
      </w:r>
      <w:r w:rsidRPr="00CA10B4">
        <w:t xml:space="preserve"> were apparently found at Llapushnik/Lapusnik. On the basis of this evidence, the Chamber is satisfied that Milovan Krsti</w:t>
      </w:r>
      <w:r w:rsidR="00B164C3" w:rsidRPr="00CA10B4">
        <w:t>ć</w:t>
      </w:r>
      <w:r w:rsidRPr="00CA10B4">
        <w:t xml:space="preserve"> and Miodrag Krsti</w:t>
      </w:r>
      <w:r w:rsidR="00B164C3" w:rsidRPr="00CA10B4">
        <w:t>ć</w:t>
      </w:r>
      <w:r w:rsidRPr="00CA10B4">
        <w:t xml:space="preserve"> were detained at the Llapushnik/Lapusnik prison camp by the KLA for an undetermined period of time beginning on 24 June 1998. The Chamber concludes that they were taking no active part in hostilities during that time.</w:t>
      </w:r>
    </w:p>
    <w:p w:rsidR="00413356" w:rsidRPr="00CA10B4" w:rsidRDefault="00413356" w:rsidP="00477162">
      <w:pPr>
        <w:pStyle w:val="ListParagraph"/>
        <w:spacing w:after="120"/>
        <w:ind w:left="630" w:right="270"/>
        <w:jc w:val="both"/>
      </w:pPr>
      <w:r w:rsidRPr="00CA10B4">
        <w:t>341. The Chamber is satisfied from the evidence as to the conditions in which these and the other prisoners were kept, that the conditions of detention in the storage room were</w:t>
      </w:r>
      <w:r w:rsidR="00B164C3" w:rsidRPr="00CA10B4">
        <w:t xml:space="preserve"> </w:t>
      </w:r>
      <w:r w:rsidRPr="00CA10B4">
        <w:t>such as to constitute cruel treatment (Count 6). There is, however, no evidence of direct and specific further mistreatment committed against Milovan Krsti</w:t>
      </w:r>
      <w:r w:rsidR="00B164C3" w:rsidRPr="00CA10B4">
        <w:t>ć</w:t>
      </w:r>
      <w:r w:rsidRPr="00CA10B4">
        <w:t xml:space="preserve"> or Miodrag Krsti</w:t>
      </w:r>
      <w:r w:rsidR="00B164C3" w:rsidRPr="00CA10B4">
        <w:t>ć</w:t>
      </w:r>
      <w:r w:rsidRPr="00CA10B4">
        <w:t>.</w:t>
      </w:r>
    </w:p>
    <w:p w:rsidR="00413356" w:rsidRPr="00CA10B4" w:rsidRDefault="00413356" w:rsidP="00477162">
      <w:pPr>
        <w:pStyle w:val="ListParagraph"/>
        <w:spacing w:after="120"/>
        <w:ind w:left="630" w:right="270"/>
        <w:jc w:val="both"/>
      </w:pPr>
      <w:r w:rsidRPr="00CA10B4">
        <w:t>342. The Prosecution alleges that Milovan and Miodrag Krsti</w:t>
      </w:r>
      <w:r w:rsidR="00B164C3" w:rsidRPr="00CA10B4">
        <w:t>ć</w:t>
      </w:r>
      <w:r w:rsidRPr="00CA10B4">
        <w:t xml:space="preserve"> were murdered at the Llapushnik/Lapusnik prison camp between 24 June 1998 and 26 July 1998. Since the bodies of Milovan and Miodrag Krsti</w:t>
      </w:r>
      <w:r w:rsidR="00B164C3" w:rsidRPr="00CA10B4">
        <w:t>ć</w:t>
      </w:r>
      <w:r w:rsidRPr="00CA10B4">
        <w:t xml:space="preserve"> have not been recovered, the Prosecution invites the Chamber to apply the factors listed in </w:t>
      </w:r>
      <w:r w:rsidRPr="00CA10B4">
        <w:rPr>
          <w:i/>
          <w:iCs/>
        </w:rPr>
        <w:t xml:space="preserve">Prosecutor v. Krnojelac </w:t>
      </w:r>
      <w:r w:rsidRPr="00CA10B4">
        <w:t>to determine that the elements of murder are satisfied. A number of years have elapsed since Milovan and Miodrag Krsti</w:t>
      </w:r>
      <w:r w:rsidR="00B164C3" w:rsidRPr="00CA10B4">
        <w:t>ć</w:t>
      </w:r>
      <w:r w:rsidRPr="00CA10B4">
        <w:t xml:space="preserve"> disappeared, and they have not contacted their family or others during that time. The Chamber has evidence of the disappearances of others detained at Llapushnik/Lapusnik. No evidence has been advanced indicating the mistreatment of Milovan Krsti</w:t>
      </w:r>
      <w:r w:rsidR="00B164C3" w:rsidRPr="00CA10B4">
        <w:t>ć</w:t>
      </w:r>
      <w:r w:rsidRPr="00CA10B4">
        <w:t xml:space="preserve"> or Miodrag Krsti</w:t>
      </w:r>
      <w:r w:rsidR="00B164C3" w:rsidRPr="00CA10B4">
        <w:t>ć</w:t>
      </w:r>
      <w:r w:rsidRPr="00CA10B4">
        <w:t xml:space="preserve"> during their detention in Llapushnik/Lapusnik, but the Chamber takes into account evidence of the general conduct towards those detained and the acts of violence perpetrated against certain detainees. The Chamber is also conscious of evidence that some persons who were detained in the prison camp were later released.</w:t>
      </w:r>
    </w:p>
    <w:p w:rsidR="00413356" w:rsidRPr="00CA10B4" w:rsidRDefault="00413356" w:rsidP="00477162">
      <w:pPr>
        <w:pStyle w:val="ListParagraph"/>
        <w:spacing w:after="120"/>
        <w:ind w:left="630" w:right="270"/>
        <w:jc w:val="both"/>
      </w:pPr>
      <w:r w:rsidRPr="00CA10B4">
        <w:lastRenderedPageBreak/>
        <w:t>343. Nevertheless, the evidence led by the Prosecution does not enable the Chamber to be satisfied that the Prosecution has proved the elements of murder in relation to Milovan Krsti</w:t>
      </w:r>
      <w:r w:rsidR="00B164C3" w:rsidRPr="00CA10B4">
        <w:t>ć</w:t>
      </w:r>
      <w:r w:rsidRPr="00CA10B4">
        <w:t xml:space="preserve"> and Miodrag Krsti</w:t>
      </w:r>
      <w:r w:rsidR="00B164C3" w:rsidRPr="00CA10B4">
        <w:t>ć</w:t>
      </w:r>
      <w:r w:rsidRPr="00CA10B4">
        <w:t>. There is no evidence before the Chamber that Milovan Krsti</w:t>
      </w:r>
      <w:r w:rsidR="00B164C3" w:rsidRPr="00CA10B4">
        <w:t>ć</w:t>
      </w:r>
      <w:r w:rsidRPr="00CA10B4">
        <w:t xml:space="preserve"> or Miodrag Krsti</w:t>
      </w:r>
      <w:r w:rsidR="00B164C3" w:rsidRPr="00CA10B4">
        <w:t>ć</w:t>
      </w:r>
      <w:r w:rsidRPr="00CA10B4">
        <w:t xml:space="preserve"> were killed in the Llapushnik/Lapusnik prison camp, by KLA guards from the prison camp, or that they were killed between the dates alleged by the Prosecution in the Indictment, that is, between 24 June 1998 and 26 July 1998. In fact, Slobodanka Krsti</w:t>
      </w:r>
      <w:r w:rsidR="00B164C3" w:rsidRPr="00CA10B4">
        <w:t>ć</w:t>
      </w:r>
      <w:r w:rsidRPr="00CA10B4">
        <w:t xml:space="preserve"> heard that Milovan and Miodrag Krsti</w:t>
      </w:r>
      <w:r w:rsidR="00B164C3" w:rsidRPr="00CA10B4">
        <w:t>ć</w:t>
      </w:r>
      <w:r w:rsidRPr="00CA10B4">
        <w:t xml:space="preserve"> were alive in August 1998. This, however, was by way of rumour. Further, in November 1998, Slobodanka Krsti</w:t>
      </w:r>
      <w:r w:rsidR="00B164C3" w:rsidRPr="00CA10B4">
        <w:t>ć</w:t>
      </w:r>
      <w:r w:rsidRPr="00CA10B4">
        <w:t xml:space="preserve">’s brother saw a television programme that showed KLA soldiers in Kukes, in Albania. Slobodanka </w:t>
      </w:r>
      <w:proofErr w:type="gramStart"/>
      <w:r w:rsidRPr="00CA10B4">
        <w:t>Kr{</w:t>
      </w:r>
      <w:proofErr w:type="gramEnd"/>
      <w:r w:rsidRPr="00CA10B4">
        <w:t>tic’s brother told her that he recognised Miodrag Krsti</w:t>
      </w:r>
      <w:r w:rsidR="00B164C3" w:rsidRPr="00CA10B4">
        <w:t>ć</w:t>
      </w:r>
      <w:r w:rsidRPr="00CA10B4">
        <w:t xml:space="preserve"> among them. Having </w:t>
      </w:r>
      <w:proofErr w:type="gramStart"/>
      <w:r w:rsidRPr="00CA10B4">
        <w:t>regard</w:t>
      </w:r>
      <w:proofErr w:type="gramEnd"/>
      <w:r w:rsidRPr="00CA10B4">
        <w:t xml:space="preserve"> to all the relevant circumstances the Chamber cannot be satisfied that the Prosecution has established that Milovan Krsti</w:t>
      </w:r>
      <w:r w:rsidR="00B164C3" w:rsidRPr="00CA10B4">
        <w:t>ć</w:t>
      </w:r>
      <w:r w:rsidRPr="00CA10B4">
        <w:t xml:space="preserve"> and Miodrag Krsti</w:t>
      </w:r>
      <w:r w:rsidR="00B164C3" w:rsidRPr="00CA10B4">
        <w:t>ć</w:t>
      </w:r>
      <w:r w:rsidRPr="00CA10B4">
        <w:t xml:space="preserve"> are in fact dead.</w:t>
      </w:r>
    </w:p>
    <w:p w:rsidR="00413356" w:rsidRPr="00CA10B4" w:rsidRDefault="00413356" w:rsidP="00477162">
      <w:pPr>
        <w:pStyle w:val="ListParagraph"/>
        <w:spacing w:after="120"/>
        <w:ind w:left="630" w:right="270"/>
        <w:jc w:val="both"/>
      </w:pPr>
      <w:r w:rsidRPr="00CA10B4">
        <w:t>344. The elements of the offence of torture (Count 4) have not been established in relation to Milovan Krsti</w:t>
      </w:r>
      <w:r w:rsidR="00B164C3" w:rsidRPr="00CA10B4">
        <w:t>ć</w:t>
      </w:r>
      <w:r w:rsidRPr="00CA10B4">
        <w:t xml:space="preserve"> or Miodrag Krsti</w:t>
      </w:r>
      <w:r w:rsidR="00B164C3" w:rsidRPr="00CA10B4">
        <w:t>ć</w:t>
      </w:r>
      <w:r w:rsidRPr="00CA10B4">
        <w:t>. Leaving aside the question of the criminal responsibility of the three Accused, the Chamber finds that the elements of the offence of cruel treatment (Count 6) have been established in relation to Milovan Krsti</w:t>
      </w:r>
      <w:r w:rsidR="00B164C3" w:rsidRPr="00CA10B4">
        <w:t>ć</w:t>
      </w:r>
      <w:r w:rsidRPr="00CA10B4">
        <w:t xml:space="preserve"> and Miodrag Krsti</w:t>
      </w:r>
      <w:r w:rsidR="00B164C3" w:rsidRPr="00CA10B4">
        <w:t>ć</w:t>
      </w:r>
      <w:r w:rsidRPr="00CA10B4">
        <w:t>. The Chamber finds that the elements of the offence of murder (Count 8) have not been satisfied in relation to Milovan Krsti</w:t>
      </w:r>
      <w:r w:rsidR="00B164C3" w:rsidRPr="00CA10B4">
        <w:t>ć</w:t>
      </w:r>
      <w:r w:rsidRPr="00CA10B4">
        <w:t xml:space="preserve"> and Miodrag Krsti</w:t>
      </w:r>
      <w:r w:rsidR="00B164C3" w:rsidRPr="00CA10B4">
        <w:t>ć</w:t>
      </w:r>
      <w:r w:rsidRPr="00CA10B4">
        <w:t>.</w:t>
      </w:r>
    </w:p>
    <w:p w:rsidR="00413356" w:rsidRPr="00CA10B4" w:rsidRDefault="004677B7" w:rsidP="00477162">
      <w:pPr>
        <w:autoSpaceDE w:val="0"/>
        <w:autoSpaceDN w:val="0"/>
        <w:adjustRightInd w:val="0"/>
        <w:spacing w:after="120"/>
        <w:ind w:left="630" w:right="270" w:firstLine="720"/>
        <w:jc w:val="both"/>
        <w:rPr>
          <w:u w:val="single"/>
        </w:rPr>
      </w:pPr>
      <w:r w:rsidRPr="00CA10B4">
        <w:tab/>
      </w:r>
      <w:r w:rsidR="00413356" w:rsidRPr="00CA10B4">
        <w:t xml:space="preserve">(xi) </w:t>
      </w:r>
      <w:r w:rsidR="00413356" w:rsidRPr="00CA10B4">
        <w:rPr>
          <w:u w:val="single"/>
        </w:rPr>
        <w:t>Slobodan Mitrovi</w:t>
      </w:r>
      <w:r w:rsidR="00B164C3" w:rsidRPr="00CA10B4">
        <w:rPr>
          <w:u w:val="single"/>
        </w:rPr>
        <w:t>ć</w:t>
      </w:r>
    </w:p>
    <w:p w:rsidR="004677B7" w:rsidRPr="00CA10B4" w:rsidRDefault="00413356" w:rsidP="00477162">
      <w:pPr>
        <w:pStyle w:val="ListParagraph"/>
        <w:spacing w:after="120"/>
        <w:ind w:left="630" w:right="270"/>
        <w:jc w:val="both"/>
      </w:pPr>
      <w:r w:rsidRPr="00CA10B4">
        <w:t>345. Ljiljana Mitrovi</w:t>
      </w:r>
      <w:r w:rsidR="00B164C3" w:rsidRPr="00CA10B4">
        <w:t>ć</w:t>
      </w:r>
      <w:r w:rsidRPr="00CA10B4">
        <w:t xml:space="preserve"> stated that, on 24 June 1998, Slobodan Mitrovi</w:t>
      </w:r>
      <w:r w:rsidR="00B164C3" w:rsidRPr="00CA10B4">
        <w:t>ć</w:t>
      </w:r>
      <w:r w:rsidRPr="00CA10B4">
        <w:t>, an ethnic Serb, and his</w:t>
      </w:r>
      <w:r w:rsidR="004677B7" w:rsidRPr="00CA10B4">
        <w:t xml:space="preserve"> </w:t>
      </w:r>
      <w:r w:rsidRPr="00CA10B4">
        <w:t>cousin Milovan Krsti</w:t>
      </w:r>
      <w:r w:rsidR="00B164C3" w:rsidRPr="00CA10B4">
        <w:t>ć</w:t>
      </w:r>
      <w:r w:rsidRPr="00CA10B4">
        <w:t xml:space="preserve"> collected Miodrag Krsti</w:t>
      </w:r>
      <w:r w:rsidR="00B164C3" w:rsidRPr="00CA10B4">
        <w:t>ć</w:t>
      </w:r>
      <w:r w:rsidRPr="00CA10B4">
        <w:t xml:space="preserve"> from a hospital in Belgrade and departed for</w:t>
      </w:r>
      <w:r w:rsidR="004677B7" w:rsidRPr="00CA10B4">
        <w:t xml:space="preserve"> </w:t>
      </w:r>
      <w:r w:rsidRPr="00CA10B4">
        <w:t>Reqan/Recane in Kosovo. Ljiljana Mitrovi</w:t>
      </w:r>
      <w:r w:rsidR="00B164C3" w:rsidRPr="00CA10B4">
        <w:t>ć</w:t>
      </w:r>
      <w:r w:rsidRPr="00CA10B4">
        <w:t xml:space="preserve"> last saw her husband on 23 June 1998 in</w:t>
      </w:r>
      <w:r w:rsidR="004677B7" w:rsidRPr="00CA10B4">
        <w:t xml:space="preserve"> </w:t>
      </w:r>
      <w:r w:rsidRPr="00CA10B4">
        <w:t>Arandjelovac. The Serbian authorities told Ljiljana Mitrovi</w:t>
      </w:r>
      <w:r w:rsidR="00B164C3" w:rsidRPr="00CA10B4">
        <w:t>ć</w:t>
      </w:r>
      <w:r w:rsidRPr="00CA10B4">
        <w:t xml:space="preserve"> that a car matching the description</w:t>
      </w:r>
      <w:r w:rsidR="004677B7" w:rsidRPr="00CA10B4">
        <w:t xml:space="preserve"> </w:t>
      </w:r>
      <w:r w:rsidRPr="00CA10B4">
        <w:t>of the Volkswagen Golf in which the men were travelling had been viewed crossing the border at</w:t>
      </w:r>
      <w:r w:rsidR="004677B7" w:rsidRPr="00CA10B4">
        <w:t xml:space="preserve"> </w:t>
      </w:r>
      <w:r w:rsidRPr="00CA10B4">
        <w:t>Rurdare/Merdare.</w:t>
      </w:r>
      <w:r w:rsidR="004677B7" w:rsidRPr="00CA10B4">
        <w:t xml:space="preserve"> </w:t>
      </w:r>
      <w:r w:rsidRPr="00CA10B4">
        <w:t>Ljiljana Mitrovi</w:t>
      </w:r>
      <w:r w:rsidR="00B164C3" w:rsidRPr="00CA10B4">
        <w:t>ć</w:t>
      </w:r>
      <w:r w:rsidRPr="00CA10B4">
        <w:t xml:space="preserve"> headed for Kosovo on 25 June 1998, where she was told by</w:t>
      </w:r>
      <w:r w:rsidR="004677B7" w:rsidRPr="00CA10B4">
        <w:t xml:space="preserve"> </w:t>
      </w:r>
      <w:r w:rsidRPr="00CA10B4">
        <w:t>Abdyl Kryeziu, from Suhareke/Suva Reka, that her husband and the Krsti</w:t>
      </w:r>
      <w:r w:rsidR="00B164C3" w:rsidRPr="00CA10B4">
        <w:t>ć</w:t>
      </w:r>
      <w:r w:rsidRPr="00CA10B4">
        <w:t xml:space="preserve"> brothers had been</w:t>
      </w:r>
      <w:r w:rsidR="004677B7" w:rsidRPr="00CA10B4">
        <w:t xml:space="preserve"> </w:t>
      </w:r>
      <w:r w:rsidRPr="00CA10B4">
        <w:t>kidnapped in Carraleve/Crnoljevo and taken in the direction of Malisheve/Malisevo.</w:t>
      </w:r>
    </w:p>
    <w:p w:rsidR="004677B7" w:rsidRPr="00CA10B4" w:rsidRDefault="00413356" w:rsidP="00477162">
      <w:pPr>
        <w:pStyle w:val="ListParagraph"/>
        <w:spacing w:after="120"/>
        <w:ind w:left="630" w:right="270"/>
        <w:jc w:val="both"/>
      </w:pPr>
      <w:r w:rsidRPr="00CA10B4">
        <w:t>346. Slobodan Mitrovi</w:t>
      </w:r>
      <w:r w:rsidR="00B164C3" w:rsidRPr="00CA10B4">
        <w:t>ć</w:t>
      </w:r>
      <w:r w:rsidRPr="00CA10B4">
        <w:t xml:space="preserve"> was recognised by others as being present at the Llapushnik/Lapusnik</w:t>
      </w:r>
      <w:r w:rsidR="004677B7" w:rsidRPr="00CA10B4">
        <w:t xml:space="preserve"> </w:t>
      </w:r>
      <w:r w:rsidRPr="00CA10B4">
        <w:t>prison camp. L07 identified Slobodan Mitrovi</w:t>
      </w:r>
      <w:r w:rsidR="00B164C3" w:rsidRPr="00CA10B4">
        <w:t>ć</w:t>
      </w:r>
      <w:r w:rsidRPr="00CA10B4">
        <w:t xml:space="preserve"> by photograph as one of the prisoners detained in</w:t>
      </w:r>
      <w:r w:rsidR="004677B7" w:rsidRPr="00CA10B4">
        <w:t xml:space="preserve"> </w:t>
      </w:r>
      <w:r w:rsidRPr="00CA10B4">
        <w:t>the storage room at Llapushnik/Lapusnik. Vojko Bakra</w:t>
      </w:r>
      <w:r w:rsidR="00B164C3" w:rsidRPr="00CA10B4">
        <w:t>ć</w:t>
      </w:r>
      <w:r w:rsidRPr="00CA10B4">
        <w:t xml:space="preserve"> stated that he was detained in the</w:t>
      </w:r>
      <w:r w:rsidR="004677B7" w:rsidRPr="00CA10B4">
        <w:t xml:space="preserve"> </w:t>
      </w:r>
      <w:r w:rsidRPr="00CA10B4">
        <w:t>storage room with “the Krsti</w:t>
      </w:r>
      <w:r w:rsidR="00B164C3" w:rsidRPr="00CA10B4">
        <w:t>ć</w:t>
      </w:r>
      <w:r w:rsidRPr="00CA10B4">
        <w:t xml:space="preserve"> brothers, one of whom was called Slobodan,”1235 although he was</w:t>
      </w:r>
      <w:r w:rsidR="004677B7" w:rsidRPr="00CA10B4">
        <w:t xml:space="preserve"> </w:t>
      </w:r>
      <w:r w:rsidRPr="00CA10B4">
        <w:t>unable to identify Slobodan Mitrovi</w:t>
      </w:r>
      <w:r w:rsidR="00B164C3" w:rsidRPr="00CA10B4">
        <w:t>ć</w:t>
      </w:r>
      <w:r w:rsidRPr="00CA10B4">
        <w:t xml:space="preserve"> by photograph. Documentation belonging to Slobodan</w:t>
      </w:r>
      <w:r w:rsidR="004677B7" w:rsidRPr="00CA10B4">
        <w:t xml:space="preserve"> </w:t>
      </w:r>
      <w:r w:rsidRPr="00CA10B4">
        <w:t>Mitrovi</w:t>
      </w:r>
      <w:r w:rsidR="00B164C3" w:rsidRPr="00CA10B4">
        <w:t>ć</w:t>
      </w:r>
      <w:r w:rsidRPr="00CA10B4">
        <w:t xml:space="preserve"> was apparently f</w:t>
      </w:r>
      <w:r w:rsidR="004677B7" w:rsidRPr="00CA10B4">
        <w:t>ound at Llapushnik/Lapusnik.</w:t>
      </w:r>
    </w:p>
    <w:p w:rsidR="004677B7" w:rsidRPr="00CA10B4" w:rsidRDefault="00413356" w:rsidP="00477162">
      <w:pPr>
        <w:pStyle w:val="ListParagraph"/>
        <w:spacing w:after="120"/>
        <w:ind w:left="630" w:right="270"/>
        <w:jc w:val="both"/>
      </w:pPr>
      <w:r w:rsidRPr="00CA10B4">
        <w:t>347. Ivan Bakra</w:t>
      </w:r>
      <w:r w:rsidR="00B164C3" w:rsidRPr="00CA10B4">
        <w:t>ć</w:t>
      </w:r>
      <w:r w:rsidRPr="00CA10B4">
        <w:t xml:space="preserve"> recognised a photograph of Slobodan Mitrovi</w:t>
      </w:r>
      <w:r w:rsidR="00B164C3" w:rsidRPr="00CA10B4">
        <w:t>ć</w:t>
      </w:r>
      <w:r w:rsidRPr="00CA10B4">
        <w:t xml:space="preserve"> by photograph as one of the</w:t>
      </w:r>
      <w:r w:rsidR="004677B7" w:rsidRPr="00CA10B4">
        <w:t xml:space="preserve"> </w:t>
      </w:r>
      <w:r w:rsidRPr="00CA10B4">
        <w:t>persons who was detained in the storage room at the Llap</w:t>
      </w:r>
      <w:r w:rsidR="004677B7" w:rsidRPr="00CA10B4">
        <w:t>ushnik/Lapusnik prison camp.</w:t>
      </w:r>
      <w:r w:rsidRPr="00CA10B4">
        <w:t xml:space="preserve"> He did</w:t>
      </w:r>
      <w:r w:rsidR="004677B7" w:rsidRPr="00CA10B4">
        <w:t xml:space="preserve"> </w:t>
      </w:r>
      <w:r w:rsidRPr="00CA10B4">
        <w:t xml:space="preserve">not know by name the individual he recognised by photograph. According to Ivan </w:t>
      </w:r>
      <w:r w:rsidR="00B164C3" w:rsidRPr="00CA10B4">
        <w:t>Bakrać</w:t>
      </w:r>
      <w:r w:rsidRPr="00CA10B4">
        <w:t>,</w:t>
      </w:r>
      <w:r w:rsidR="004677B7" w:rsidRPr="00CA10B4">
        <w:t xml:space="preserve"> </w:t>
      </w:r>
      <w:r w:rsidRPr="00CA10B4">
        <w:t>Slobodan Mitrovi</w:t>
      </w:r>
      <w:r w:rsidR="00B164C3" w:rsidRPr="00CA10B4">
        <w:t>ć</w:t>
      </w:r>
      <w:r w:rsidRPr="00CA10B4">
        <w:t xml:space="preserve"> had a bullet hole in his leg and told him that he had been shot while attempting</w:t>
      </w:r>
      <w:r w:rsidR="004677B7" w:rsidRPr="00CA10B4">
        <w:t xml:space="preserve"> </w:t>
      </w:r>
      <w:r w:rsidRPr="00CA10B4">
        <w:t>to flee from a bus that had been stopped by the KLA. This does not accord with the account of</w:t>
      </w:r>
      <w:r w:rsidR="004677B7" w:rsidRPr="00CA10B4">
        <w:t xml:space="preserve"> </w:t>
      </w:r>
      <w:r w:rsidRPr="00CA10B4">
        <w:t>Slobodan Mitrovi</w:t>
      </w:r>
      <w:r w:rsidR="00B164C3" w:rsidRPr="00CA10B4">
        <w:t>ć</w:t>
      </w:r>
      <w:r w:rsidRPr="00CA10B4">
        <w:t>’s apprehension given by Ljiljana Mitrovi</w:t>
      </w:r>
      <w:r w:rsidR="00B164C3" w:rsidRPr="00CA10B4">
        <w:t>ć</w:t>
      </w:r>
      <w:r w:rsidRPr="00CA10B4">
        <w:t xml:space="preserve"> and Slobodanka Krsti</w:t>
      </w:r>
      <w:r w:rsidR="00B164C3" w:rsidRPr="00CA10B4">
        <w:t>ć</w:t>
      </w:r>
      <w:r w:rsidRPr="00CA10B4">
        <w:t>, who both</w:t>
      </w:r>
      <w:r w:rsidR="004677B7" w:rsidRPr="00CA10B4">
        <w:t xml:space="preserve"> </w:t>
      </w:r>
      <w:r w:rsidRPr="00CA10B4">
        <w:t>understood that Slobodan Mitrovi</w:t>
      </w:r>
      <w:r w:rsidR="00B164C3" w:rsidRPr="00CA10B4">
        <w:t>ć</w:t>
      </w:r>
      <w:r w:rsidRPr="00CA10B4">
        <w:t xml:space="preserve"> was travelling by car, not by bus. The Chamber notes that</w:t>
      </w:r>
      <w:r w:rsidR="004677B7" w:rsidRPr="00CA10B4">
        <w:t xml:space="preserve"> </w:t>
      </w:r>
      <w:r w:rsidRPr="00CA10B4">
        <w:t xml:space="preserve">the circumstances </w:t>
      </w:r>
      <w:r w:rsidRPr="00CA10B4">
        <w:lastRenderedPageBreak/>
        <w:t xml:space="preserve">which Ivan </w:t>
      </w:r>
      <w:r w:rsidR="00B164C3" w:rsidRPr="00CA10B4">
        <w:t>Bakrać</w:t>
      </w:r>
      <w:r w:rsidRPr="00CA10B4">
        <w:t xml:space="preserve"> described appear to accord with the Prosecution’s case as to</w:t>
      </w:r>
      <w:r w:rsidR="004677B7" w:rsidRPr="00CA10B4">
        <w:t xml:space="preserve"> </w:t>
      </w:r>
      <w:r w:rsidRPr="00CA10B4">
        <w:t>the apprehension and disappearance of Srboljub Miladinovi</w:t>
      </w:r>
      <w:r w:rsidR="00B164C3" w:rsidRPr="00CA10B4">
        <w:t>ć</w:t>
      </w:r>
      <w:r w:rsidRPr="00CA10B4">
        <w:t>, whom the Prosecution alleges was</w:t>
      </w:r>
      <w:r w:rsidR="004677B7" w:rsidRPr="00CA10B4">
        <w:t xml:space="preserve"> </w:t>
      </w:r>
      <w:r w:rsidRPr="00CA10B4">
        <w:t>also detained at the Llapushnik/Lapusnik prison camp. There is obvious uncertainty in the evidence.</w:t>
      </w:r>
    </w:p>
    <w:p w:rsidR="004677B7" w:rsidRPr="00CA10B4" w:rsidRDefault="00413356" w:rsidP="00477162">
      <w:pPr>
        <w:pStyle w:val="ListParagraph"/>
        <w:spacing w:after="120"/>
        <w:ind w:left="630" w:right="270"/>
        <w:jc w:val="both"/>
      </w:pPr>
      <w:r w:rsidRPr="00CA10B4">
        <w:t>348. Despite this, the Chamber is satisfied, on the basis of the evidence, that Slobodan Mitrovi</w:t>
      </w:r>
      <w:r w:rsidR="00B164C3" w:rsidRPr="00CA10B4">
        <w:t>ć</w:t>
      </w:r>
      <w:r w:rsidR="004677B7" w:rsidRPr="00CA10B4">
        <w:t xml:space="preserve"> </w:t>
      </w:r>
      <w:r w:rsidRPr="00CA10B4">
        <w:t>was identified as a detainee in the storage room at the Llapushnik/Lapusnik prison camp. The</w:t>
      </w:r>
      <w:r w:rsidR="004677B7" w:rsidRPr="00CA10B4">
        <w:t xml:space="preserve"> </w:t>
      </w:r>
      <w:r w:rsidRPr="00CA10B4">
        <w:t>chamber is further satisfied that Slobodan Mitrovi</w:t>
      </w:r>
      <w:r w:rsidR="00B164C3" w:rsidRPr="00CA10B4">
        <w:t>ć</w:t>
      </w:r>
      <w:r w:rsidRPr="00CA10B4">
        <w:t xml:space="preserve"> was detained in the storage room by the KLA</w:t>
      </w:r>
      <w:r w:rsidR="004677B7" w:rsidRPr="00CA10B4">
        <w:t xml:space="preserve"> </w:t>
      </w:r>
      <w:r w:rsidRPr="00CA10B4">
        <w:t>for an undetermined period of time, beginning on 24 June 1998. The Chamber finds that Slobodan</w:t>
      </w:r>
      <w:r w:rsidR="004677B7" w:rsidRPr="00CA10B4">
        <w:t xml:space="preserve"> </w:t>
      </w:r>
      <w:r w:rsidRPr="00CA10B4">
        <w:t>Mitrovi</w:t>
      </w:r>
      <w:r w:rsidR="00B164C3" w:rsidRPr="00CA10B4">
        <w:t>ć</w:t>
      </w:r>
      <w:r w:rsidRPr="00CA10B4">
        <w:t xml:space="preserve"> was not taking any active part in hostilities during that time.</w:t>
      </w:r>
    </w:p>
    <w:p w:rsidR="004677B7" w:rsidRPr="00CA10B4" w:rsidRDefault="00413356" w:rsidP="00477162">
      <w:pPr>
        <w:pStyle w:val="ListParagraph"/>
        <w:spacing w:after="120"/>
        <w:ind w:left="630" w:right="270"/>
        <w:jc w:val="both"/>
      </w:pPr>
      <w:r w:rsidRPr="00CA10B4">
        <w:t>349. As the Chamber has discussed, the conditions in the storage room in the relevant period</w:t>
      </w:r>
      <w:r w:rsidR="004677B7" w:rsidRPr="00CA10B4">
        <w:t xml:space="preserve"> </w:t>
      </w:r>
      <w:r w:rsidRPr="00CA10B4">
        <w:t>were such as to constitute the offence of cruel treatment. That aside, there is no evidence that</w:t>
      </w:r>
      <w:r w:rsidR="004677B7" w:rsidRPr="00CA10B4">
        <w:t xml:space="preserve"> </w:t>
      </w:r>
      <w:r w:rsidRPr="00CA10B4">
        <w:t>Slobodan Mitrovi</w:t>
      </w:r>
      <w:r w:rsidR="00B164C3" w:rsidRPr="00CA10B4">
        <w:t>ć</w:t>
      </w:r>
      <w:r w:rsidRPr="00CA10B4">
        <w:t xml:space="preserve"> was subjected to direct mistreatment or torture at Llapushnik/Lapusnik.</w:t>
      </w:r>
      <w:r w:rsidR="004677B7" w:rsidRPr="00CA10B4">
        <w:t xml:space="preserve"> </w:t>
      </w:r>
    </w:p>
    <w:p w:rsidR="004677B7" w:rsidRPr="00CA10B4" w:rsidRDefault="00413356" w:rsidP="00477162">
      <w:pPr>
        <w:pStyle w:val="ListParagraph"/>
        <w:spacing w:after="120"/>
        <w:ind w:left="630" w:right="270"/>
        <w:jc w:val="both"/>
      </w:pPr>
      <w:r w:rsidRPr="00CA10B4">
        <w:t>350. The Prosecution alleges that Slobodan Mitrovi</w:t>
      </w:r>
      <w:r w:rsidR="00B164C3" w:rsidRPr="00CA10B4">
        <w:t>ć</w:t>
      </w:r>
      <w:r w:rsidRPr="00CA10B4">
        <w:t xml:space="preserve"> was murdered at the Llapushnik/Lapusnik</w:t>
      </w:r>
      <w:r w:rsidR="004677B7" w:rsidRPr="00CA10B4">
        <w:t xml:space="preserve"> </w:t>
      </w:r>
      <w:r w:rsidRPr="00CA10B4">
        <w:t>prison camp sometime between 24 June 1998 and 26 June 1998. The Prosecution asks the</w:t>
      </w:r>
      <w:r w:rsidR="004677B7" w:rsidRPr="00CA10B4">
        <w:t xml:space="preserve"> </w:t>
      </w:r>
      <w:r w:rsidRPr="00CA10B4">
        <w:t xml:space="preserve">Chamber to apply the factors set out in </w:t>
      </w:r>
      <w:r w:rsidRPr="00CA10B4">
        <w:rPr>
          <w:i/>
        </w:rPr>
        <w:t>Prosecutor v. Krnojelac</w:t>
      </w:r>
      <w:r w:rsidRPr="00CA10B4">
        <w:t xml:space="preserve"> to the evidence before it. A number</w:t>
      </w:r>
      <w:r w:rsidR="004677B7" w:rsidRPr="00CA10B4">
        <w:t xml:space="preserve"> </w:t>
      </w:r>
      <w:r w:rsidRPr="00CA10B4">
        <w:t>of years have elapsed since Slobodan Mitrovi</w:t>
      </w:r>
      <w:r w:rsidR="00B164C3" w:rsidRPr="00CA10B4">
        <w:t>ć</w:t>
      </w:r>
      <w:r w:rsidRPr="00CA10B4">
        <w:t xml:space="preserve"> disappeared, and he has not contacted his family or</w:t>
      </w:r>
      <w:r w:rsidR="004677B7" w:rsidRPr="00CA10B4">
        <w:t xml:space="preserve"> </w:t>
      </w:r>
      <w:r w:rsidRPr="00CA10B4">
        <w:t>others during that time. Further, the Chamber has evidence of the disappearances of others detained</w:t>
      </w:r>
      <w:r w:rsidR="004677B7" w:rsidRPr="00CA10B4">
        <w:t xml:space="preserve"> </w:t>
      </w:r>
      <w:r w:rsidRPr="00CA10B4">
        <w:t>at Llapushnik/Lapusnik. Slobodan Mitrovi</w:t>
      </w:r>
      <w:r w:rsidR="00B164C3" w:rsidRPr="00CA10B4">
        <w:t>ć</w:t>
      </w:r>
      <w:r w:rsidRPr="00CA10B4">
        <w:t>’s wife heard from a man who claimed to have seen</w:t>
      </w:r>
      <w:r w:rsidR="004677B7" w:rsidRPr="00CA10B4">
        <w:t xml:space="preserve"> </w:t>
      </w:r>
      <w:r w:rsidRPr="00CA10B4">
        <w:t>Slobodan Mitrovi</w:t>
      </w:r>
      <w:r w:rsidR="00B164C3" w:rsidRPr="00CA10B4">
        <w:t>ć</w:t>
      </w:r>
      <w:r w:rsidRPr="00CA10B4">
        <w:t>, but this was apparently a hoax. Ljiljana Mitrovi</w:t>
      </w:r>
      <w:r w:rsidR="00B164C3" w:rsidRPr="00CA10B4">
        <w:t>ć</w:t>
      </w:r>
      <w:r w:rsidRPr="00CA10B4">
        <w:t xml:space="preserve"> testified before the</w:t>
      </w:r>
      <w:r w:rsidR="004677B7" w:rsidRPr="00CA10B4">
        <w:t xml:space="preserve"> </w:t>
      </w:r>
      <w:r w:rsidRPr="00CA10B4">
        <w:t>Chamber that she has not seen her husband since his disappearance and was confident that he has</w:t>
      </w:r>
      <w:r w:rsidR="004677B7" w:rsidRPr="00CA10B4">
        <w:t xml:space="preserve"> </w:t>
      </w:r>
      <w:r w:rsidRPr="00CA10B4">
        <w:t>been killed. The Chamber has no doubt that Ljiljana Mitrovi</w:t>
      </w:r>
      <w:r w:rsidR="00B164C3" w:rsidRPr="00CA10B4">
        <w:t>ć</w:t>
      </w:r>
      <w:r w:rsidRPr="00CA10B4">
        <w:t xml:space="preserve"> testified truthfully. However, her</w:t>
      </w:r>
      <w:r w:rsidR="004677B7" w:rsidRPr="00CA10B4">
        <w:t xml:space="preserve"> </w:t>
      </w:r>
      <w:r w:rsidRPr="00CA10B4">
        <w:t>evidence does not provide sufficient certainty as to the circumstances of her husband’s possible</w:t>
      </w:r>
      <w:r w:rsidR="004677B7" w:rsidRPr="00CA10B4">
        <w:t xml:space="preserve"> </w:t>
      </w:r>
      <w:r w:rsidRPr="00CA10B4">
        <w:t>death so as to establish the elements of the offence of murder as charged.</w:t>
      </w:r>
    </w:p>
    <w:p w:rsidR="00413356" w:rsidRPr="00CA10B4" w:rsidRDefault="00413356" w:rsidP="00477162">
      <w:pPr>
        <w:pStyle w:val="ListParagraph"/>
        <w:spacing w:after="120"/>
        <w:ind w:left="630" w:right="270"/>
        <w:jc w:val="both"/>
      </w:pPr>
      <w:r w:rsidRPr="00CA10B4">
        <w:t>351. The Chamber concludes that the elements of the offence of torture (Count 4) have not been</w:t>
      </w:r>
      <w:r w:rsidR="004677B7" w:rsidRPr="00CA10B4">
        <w:t xml:space="preserve"> </w:t>
      </w:r>
      <w:r w:rsidRPr="00CA10B4">
        <w:t>established in relation to Slobodan Mitrovi</w:t>
      </w:r>
      <w:r w:rsidR="00B164C3" w:rsidRPr="00CA10B4">
        <w:t>ć</w:t>
      </w:r>
      <w:r w:rsidRPr="00CA10B4">
        <w:t>. Leaving aside the criminal responsibility of the three</w:t>
      </w:r>
      <w:r w:rsidR="004677B7" w:rsidRPr="00CA10B4">
        <w:t xml:space="preserve"> </w:t>
      </w:r>
      <w:r w:rsidRPr="00CA10B4">
        <w:t>Accused, the Chamber finds that the elements of the offence of cruel treatment (Count 6) have been</w:t>
      </w:r>
      <w:r w:rsidR="004677B7" w:rsidRPr="00CA10B4">
        <w:t xml:space="preserve"> </w:t>
      </w:r>
      <w:r w:rsidRPr="00CA10B4">
        <w:t>satisfied in relation to Slobodan Mitrovi</w:t>
      </w:r>
      <w:r w:rsidR="00B164C3" w:rsidRPr="00CA10B4">
        <w:t>ć</w:t>
      </w:r>
      <w:r w:rsidRPr="00CA10B4">
        <w:t>. The Chamber concludes that the elements of the offence</w:t>
      </w:r>
      <w:r w:rsidR="004677B7" w:rsidRPr="00CA10B4">
        <w:t xml:space="preserve"> </w:t>
      </w:r>
      <w:r w:rsidRPr="00CA10B4">
        <w:t>of murder (Count 8) have not been established in relation to Slobodan Mitrovi</w:t>
      </w:r>
      <w:r w:rsidR="00B164C3" w:rsidRPr="00CA10B4">
        <w:t>ć</w:t>
      </w:r>
      <w:r w:rsidRPr="00CA10B4">
        <w:t>.</w:t>
      </w:r>
    </w:p>
    <w:p w:rsidR="004677B7" w:rsidRPr="00CA10B4" w:rsidRDefault="00413356" w:rsidP="00477162">
      <w:pPr>
        <w:autoSpaceDE w:val="0"/>
        <w:autoSpaceDN w:val="0"/>
        <w:adjustRightInd w:val="0"/>
        <w:spacing w:after="120"/>
        <w:ind w:left="630" w:right="270" w:firstLine="720"/>
        <w:jc w:val="both"/>
      </w:pPr>
      <w:r w:rsidRPr="00CA10B4">
        <w:t xml:space="preserve">(xii) </w:t>
      </w:r>
      <w:r w:rsidRPr="00CA10B4">
        <w:rPr>
          <w:u w:val="single"/>
        </w:rPr>
        <w:t xml:space="preserve">Miroslav </w:t>
      </w:r>
      <w:r w:rsidR="00B164C3" w:rsidRPr="00CA10B4">
        <w:rPr>
          <w:u w:val="single"/>
        </w:rPr>
        <w:t>Š</w:t>
      </w:r>
      <w:r w:rsidRPr="00CA10B4">
        <w:rPr>
          <w:u w:val="single"/>
        </w:rPr>
        <w:t>uljini</w:t>
      </w:r>
      <w:r w:rsidR="00B164C3" w:rsidRPr="00CA10B4">
        <w:rPr>
          <w:u w:val="single"/>
        </w:rPr>
        <w:t>ć</w:t>
      </w:r>
    </w:p>
    <w:p w:rsidR="004677B7" w:rsidRPr="00CA10B4" w:rsidRDefault="00413356" w:rsidP="00477162">
      <w:pPr>
        <w:pStyle w:val="ListParagraph"/>
        <w:spacing w:after="120"/>
        <w:ind w:left="630" w:right="270"/>
        <w:jc w:val="both"/>
      </w:pPr>
      <w:r w:rsidRPr="00CA10B4">
        <w:t xml:space="preserve">352. On 21 May 1998, Miroslav </w:t>
      </w:r>
      <w:r w:rsidR="00B164C3" w:rsidRPr="00CA10B4">
        <w:t>Šuljinić</w:t>
      </w:r>
      <w:r w:rsidRPr="00CA10B4">
        <w:t>, an ethnic Serb, was returning from Doberdoll/Dobri Do</w:t>
      </w:r>
      <w:r w:rsidR="004677B7" w:rsidRPr="00CA10B4">
        <w:t xml:space="preserve"> </w:t>
      </w:r>
      <w:r w:rsidRPr="00CA10B4">
        <w:t xml:space="preserve">to Viteje/Vidanje when he disappeared. Miroslav </w:t>
      </w:r>
      <w:r w:rsidR="00B164C3" w:rsidRPr="00CA10B4">
        <w:t>Šuljinić</w:t>
      </w:r>
      <w:r w:rsidRPr="00CA10B4">
        <w:t xml:space="preserve">’s brother, Jeremija </w:t>
      </w:r>
      <w:r w:rsidR="00B164C3" w:rsidRPr="00CA10B4">
        <w:t>Šuljinić</w:t>
      </w:r>
      <w:r w:rsidRPr="00CA10B4">
        <w:t>, received</w:t>
      </w:r>
      <w:r w:rsidR="004677B7" w:rsidRPr="00CA10B4">
        <w:t xml:space="preserve"> </w:t>
      </w:r>
      <w:r w:rsidRPr="00CA10B4">
        <w:t xml:space="preserve">information from the MUP that, on 21 May 1998, Miroslav </w:t>
      </w:r>
      <w:r w:rsidR="00B164C3" w:rsidRPr="00CA10B4">
        <w:t>Šuljinić</w:t>
      </w:r>
      <w:r w:rsidRPr="00CA10B4">
        <w:t xml:space="preserve"> had been crossing the MUP Komoran/Komorane checkpoint towards Llapushnik/Lapusnik. His car was allegedly seen by three</w:t>
      </w:r>
      <w:r w:rsidR="004677B7" w:rsidRPr="00CA10B4">
        <w:t xml:space="preserve"> </w:t>
      </w:r>
      <w:r w:rsidRPr="00CA10B4">
        <w:t>journalists in Llapushnik/Lapusnik that sam</w:t>
      </w:r>
      <w:r w:rsidR="004677B7" w:rsidRPr="00CA10B4">
        <w:t>e day.</w:t>
      </w:r>
    </w:p>
    <w:p w:rsidR="004677B7" w:rsidRPr="00CA10B4" w:rsidRDefault="004677B7" w:rsidP="00477162">
      <w:pPr>
        <w:pStyle w:val="ListParagraph"/>
        <w:spacing w:after="120"/>
        <w:ind w:left="630" w:right="270"/>
        <w:jc w:val="both"/>
      </w:pPr>
      <w:r w:rsidRPr="00CA10B4">
        <w:t>3</w:t>
      </w:r>
      <w:r w:rsidR="00413356" w:rsidRPr="00CA10B4">
        <w:t xml:space="preserve">53. A note shown to Jeremija </w:t>
      </w:r>
      <w:r w:rsidR="00B164C3" w:rsidRPr="00CA10B4">
        <w:t>Šuljinić</w:t>
      </w:r>
      <w:r w:rsidR="00413356" w:rsidRPr="00CA10B4">
        <w:t xml:space="preserve"> by investigators and appended to his written statement</w:t>
      </w:r>
      <w:r w:rsidRPr="00CA10B4">
        <w:t xml:space="preserve"> </w:t>
      </w:r>
      <w:r w:rsidR="00413356" w:rsidRPr="00CA10B4">
        <w:t xml:space="preserve">states: “I am </w:t>
      </w:r>
      <w:r w:rsidR="00B164C3" w:rsidRPr="00CA10B4">
        <w:t>Šuljinić</w:t>
      </w:r>
      <w:r w:rsidR="00413356" w:rsidRPr="00CA10B4">
        <w:t xml:space="preserve">, Miroslav, born on 08.06.1996 [sic]. </w:t>
      </w:r>
      <w:proofErr w:type="gramStart"/>
      <w:r w:rsidR="00413356" w:rsidRPr="00CA10B4">
        <w:t xml:space="preserve">Occupation </w:t>
      </w:r>
      <w:r w:rsidR="00413356" w:rsidRPr="00CA10B4">
        <w:lastRenderedPageBreak/>
        <w:t>worker.</w:t>
      </w:r>
      <w:proofErr w:type="gramEnd"/>
      <w:r w:rsidR="00413356" w:rsidRPr="00CA10B4">
        <w:t xml:space="preserve"> </w:t>
      </w:r>
      <w:proofErr w:type="gramStart"/>
      <w:r w:rsidR="00413356" w:rsidRPr="00CA10B4">
        <w:t>Captured by U</w:t>
      </w:r>
      <w:r w:rsidR="00B164C3" w:rsidRPr="00CA10B4">
        <w:t>Č</w:t>
      </w:r>
      <w:r w:rsidR="00413356" w:rsidRPr="00CA10B4">
        <w:t>K in</w:t>
      </w:r>
      <w:r w:rsidRPr="00CA10B4">
        <w:t xml:space="preserve"> </w:t>
      </w:r>
      <w:r w:rsidR="00413356" w:rsidRPr="00CA10B4">
        <w:t>Lapo</w:t>
      </w:r>
      <w:r w:rsidR="00447050" w:rsidRPr="00CA10B4">
        <w:t>š</w:t>
      </w:r>
      <w:r w:rsidR="00413356" w:rsidRPr="00CA10B4">
        <w:t>nik [sic] 21.05.1998.”</w:t>
      </w:r>
      <w:proofErr w:type="gramEnd"/>
      <w:r w:rsidR="00413356" w:rsidRPr="00CA10B4">
        <w:t xml:space="preserve"> Jeremija </w:t>
      </w:r>
      <w:r w:rsidR="00B164C3" w:rsidRPr="00CA10B4">
        <w:t>Šuljinić</w:t>
      </w:r>
      <w:r w:rsidR="00413356" w:rsidRPr="00CA10B4">
        <w:t xml:space="preserve"> stated that he recognised Miroslav </w:t>
      </w:r>
      <w:r w:rsidR="00B164C3" w:rsidRPr="00CA10B4">
        <w:t>Šuljinić</w:t>
      </w:r>
      <w:r w:rsidR="00413356" w:rsidRPr="00CA10B4">
        <w:t>’s</w:t>
      </w:r>
      <w:r w:rsidRPr="00CA10B4">
        <w:t xml:space="preserve"> </w:t>
      </w:r>
      <w:r w:rsidR="00413356" w:rsidRPr="00CA10B4">
        <w:t>handwriting.</w:t>
      </w:r>
    </w:p>
    <w:p w:rsidR="004677B7" w:rsidRPr="00CA10B4" w:rsidRDefault="00413356" w:rsidP="00477162">
      <w:pPr>
        <w:pStyle w:val="ListParagraph"/>
        <w:spacing w:after="120"/>
        <w:ind w:left="630" w:right="270"/>
        <w:jc w:val="both"/>
      </w:pPr>
      <w:r w:rsidRPr="00CA10B4">
        <w:t>354. The Prosecution has called only one viva voce witness who was able to testify as to</w:t>
      </w:r>
      <w:r w:rsidR="004677B7" w:rsidRPr="00CA10B4">
        <w:t xml:space="preserve"> </w:t>
      </w:r>
      <w:r w:rsidRPr="00CA10B4">
        <w:t xml:space="preserve">Miroslav </w:t>
      </w:r>
      <w:r w:rsidR="00B164C3" w:rsidRPr="00CA10B4">
        <w:t>Šuljinić</w:t>
      </w:r>
      <w:r w:rsidRPr="00CA10B4">
        <w:t xml:space="preserve"> presence in Llapushnik/Lapusnik. When shown a photograph of Miroslav</w:t>
      </w:r>
      <w:r w:rsidR="004677B7" w:rsidRPr="00CA10B4">
        <w:t xml:space="preserve"> </w:t>
      </w:r>
      <w:r w:rsidR="00B164C3" w:rsidRPr="00CA10B4">
        <w:t>Šuljinić</w:t>
      </w:r>
      <w:r w:rsidRPr="00CA10B4">
        <w:t xml:space="preserve">, Ivan </w:t>
      </w:r>
      <w:r w:rsidR="00B164C3" w:rsidRPr="00CA10B4">
        <w:t>Bakrać</w:t>
      </w:r>
      <w:r w:rsidRPr="00CA10B4">
        <w:t xml:space="preserve"> stated that he recognised him as a man who was “always smiling” and who</w:t>
      </w:r>
      <w:r w:rsidR="004677B7" w:rsidRPr="00CA10B4">
        <w:t xml:space="preserve"> </w:t>
      </w:r>
      <w:r w:rsidRPr="00CA10B4">
        <w:t>had been travelling in the dark blue Volkswagen Golf with Milovan Krsti</w:t>
      </w:r>
      <w:r w:rsidR="00B164C3" w:rsidRPr="00CA10B4">
        <w:t>ć</w:t>
      </w:r>
      <w:r w:rsidRPr="00CA10B4">
        <w:t>.</w:t>
      </w:r>
      <w:r w:rsidR="009A64D3" w:rsidRPr="00CA10B4">
        <w:t xml:space="preserve"> </w:t>
      </w:r>
      <w:r w:rsidRPr="00CA10B4">
        <w:t>However, according</w:t>
      </w:r>
      <w:r w:rsidR="004677B7" w:rsidRPr="00CA10B4">
        <w:t xml:space="preserve"> </w:t>
      </w:r>
      <w:r w:rsidRPr="00CA10B4">
        <w:t xml:space="preserve">to the written statement of Jeremija </w:t>
      </w:r>
      <w:r w:rsidR="00B164C3" w:rsidRPr="00CA10B4">
        <w:t>Šuljinić</w:t>
      </w:r>
      <w:r w:rsidRPr="00CA10B4">
        <w:t xml:space="preserve">, Miroslav </w:t>
      </w:r>
      <w:r w:rsidR="00B164C3" w:rsidRPr="00CA10B4">
        <w:t>Šuljinić</w:t>
      </w:r>
      <w:r w:rsidRPr="00CA10B4">
        <w:t xml:space="preserve"> was not with Milovan Krsti</w:t>
      </w:r>
      <w:r w:rsidR="00B164C3" w:rsidRPr="00CA10B4">
        <w:t>ć</w:t>
      </w:r>
      <w:r w:rsidRPr="00CA10B4">
        <w:t xml:space="preserve"> when</w:t>
      </w:r>
      <w:r w:rsidR="004677B7" w:rsidRPr="00CA10B4">
        <w:t xml:space="preserve"> </w:t>
      </w:r>
      <w:r w:rsidRPr="00CA10B4">
        <w:t xml:space="preserve">he was apprehended; according to Jeremija </w:t>
      </w:r>
      <w:r w:rsidR="00B164C3" w:rsidRPr="00CA10B4">
        <w:t>Šuljinić</w:t>
      </w:r>
      <w:r w:rsidRPr="00CA10B4">
        <w:t xml:space="preserve">, Miroslav </w:t>
      </w:r>
      <w:r w:rsidR="00B164C3" w:rsidRPr="00CA10B4">
        <w:t>Šuljinić</w:t>
      </w:r>
      <w:r w:rsidRPr="00CA10B4">
        <w:t xml:space="preserve"> travelled alone to</w:t>
      </w:r>
      <w:r w:rsidR="004677B7" w:rsidRPr="00CA10B4">
        <w:t xml:space="preserve"> </w:t>
      </w:r>
      <w:r w:rsidRPr="00CA10B4">
        <w:t>Doberdoll/Dobri Do to finish some work.</w:t>
      </w:r>
      <w:r w:rsidR="004677B7" w:rsidRPr="00CA10B4">
        <w:t xml:space="preserve"> </w:t>
      </w:r>
      <w:r w:rsidRPr="00CA10B4">
        <w:t xml:space="preserve">Further, Jeremija </w:t>
      </w:r>
      <w:r w:rsidR="00B164C3" w:rsidRPr="00CA10B4">
        <w:t>Šuljinić</w:t>
      </w:r>
      <w:r w:rsidRPr="00CA10B4">
        <w:t xml:space="preserve"> stated that Miroslav</w:t>
      </w:r>
      <w:r w:rsidR="004677B7" w:rsidRPr="00CA10B4">
        <w:t xml:space="preserve"> </w:t>
      </w:r>
      <w:r w:rsidR="00B164C3" w:rsidRPr="00CA10B4">
        <w:t>Šuljinić</w:t>
      </w:r>
      <w:r w:rsidRPr="00CA10B4">
        <w:t xml:space="preserve"> was travelling in a Toyota Corolla, not a Volkswagen Golf. Later in his testimony, Ivan</w:t>
      </w:r>
      <w:r w:rsidR="004677B7" w:rsidRPr="00CA10B4">
        <w:t xml:space="preserve"> </w:t>
      </w:r>
      <w:r w:rsidR="00B164C3" w:rsidRPr="00CA10B4">
        <w:t>Bakrać</w:t>
      </w:r>
      <w:r w:rsidRPr="00CA10B4">
        <w:t xml:space="preserve"> was shown a photograph of Miroslav </w:t>
      </w:r>
      <w:r w:rsidR="00B164C3" w:rsidRPr="00CA10B4">
        <w:t>Šuljinić</w:t>
      </w:r>
      <w:r w:rsidRPr="00CA10B4">
        <w:t xml:space="preserve"> and asked if he recognised him as one of the</w:t>
      </w:r>
      <w:r w:rsidR="004677B7" w:rsidRPr="00CA10B4">
        <w:t xml:space="preserve"> </w:t>
      </w:r>
      <w:r w:rsidRPr="00CA10B4">
        <w:t xml:space="preserve">men Ivan </w:t>
      </w:r>
      <w:r w:rsidR="00B164C3" w:rsidRPr="00CA10B4">
        <w:t>Bakrać</w:t>
      </w:r>
      <w:r w:rsidRPr="00CA10B4">
        <w:t xml:space="preserve"> spoke to when inquiring about the whereabouts </w:t>
      </w:r>
      <w:r w:rsidR="004677B7" w:rsidRPr="00CA10B4">
        <w:t xml:space="preserve">and welfare of Stamen Genov. </w:t>
      </w:r>
      <w:r w:rsidRPr="00CA10B4">
        <w:t xml:space="preserve">Ivan </w:t>
      </w:r>
      <w:r w:rsidR="00B164C3" w:rsidRPr="00CA10B4">
        <w:t>Bakrać</w:t>
      </w:r>
      <w:r w:rsidRPr="00CA10B4">
        <w:t xml:space="preserve"> agreed that Miroslav </w:t>
      </w:r>
      <w:r w:rsidR="00B164C3" w:rsidRPr="00CA10B4">
        <w:t>Šuljinić</w:t>
      </w:r>
      <w:r w:rsidRPr="00CA10B4">
        <w:t xml:space="preserve"> was one of the men he had spoken to</w:t>
      </w:r>
      <w:r w:rsidR="004677B7" w:rsidRPr="00CA10B4">
        <w:t>.</w:t>
      </w:r>
    </w:p>
    <w:p w:rsidR="004677B7" w:rsidRPr="00CA10B4" w:rsidRDefault="00413356" w:rsidP="00477162">
      <w:pPr>
        <w:pStyle w:val="ListParagraph"/>
        <w:spacing w:after="120"/>
        <w:ind w:left="630" w:right="270"/>
        <w:jc w:val="both"/>
      </w:pPr>
      <w:r w:rsidRPr="00CA10B4">
        <w:t xml:space="preserve">355. The Chamber is satisfied that Ivan </w:t>
      </w:r>
      <w:r w:rsidR="00B164C3" w:rsidRPr="00CA10B4">
        <w:t>Bakrać</w:t>
      </w:r>
      <w:r w:rsidRPr="00CA10B4">
        <w:t xml:space="preserve"> testified truthfully. His recollection of what he</w:t>
      </w:r>
      <w:r w:rsidR="004677B7" w:rsidRPr="00CA10B4">
        <w:t xml:space="preserve"> </w:t>
      </w:r>
      <w:r w:rsidRPr="00CA10B4">
        <w:t xml:space="preserve">was told of the circumstances of Miroslav </w:t>
      </w:r>
      <w:r w:rsidR="00B164C3" w:rsidRPr="00CA10B4">
        <w:t>Šuljinić</w:t>
      </w:r>
      <w:r w:rsidRPr="00CA10B4">
        <w:t>’s apprehension, however, does not accord with</w:t>
      </w:r>
      <w:r w:rsidR="004677B7" w:rsidRPr="00CA10B4">
        <w:t xml:space="preserve"> </w:t>
      </w:r>
      <w:r w:rsidRPr="00CA10B4">
        <w:t xml:space="preserve">the written statement of Jeremija </w:t>
      </w:r>
      <w:r w:rsidR="00B164C3" w:rsidRPr="00CA10B4">
        <w:t>Šuljinić</w:t>
      </w:r>
      <w:r w:rsidRPr="00CA10B4">
        <w:t xml:space="preserve"> regarding Miroslav </w:t>
      </w:r>
      <w:r w:rsidR="00B164C3" w:rsidRPr="00CA10B4">
        <w:t>Šuljinić</w:t>
      </w:r>
      <w:r w:rsidRPr="00CA10B4">
        <w:t>’s apprehension. The</w:t>
      </w:r>
      <w:r w:rsidR="004677B7" w:rsidRPr="00CA10B4">
        <w:t xml:space="preserve"> </w:t>
      </w:r>
      <w:r w:rsidRPr="00CA10B4">
        <w:t xml:space="preserve">Chamber has no adequate basis on which to determine how Miroslav </w:t>
      </w:r>
      <w:r w:rsidR="00B164C3" w:rsidRPr="00CA10B4">
        <w:t>Šuljinić</w:t>
      </w:r>
      <w:r w:rsidRPr="00CA10B4">
        <w:t xml:space="preserve"> was apprehended.</w:t>
      </w:r>
      <w:r w:rsidR="004677B7" w:rsidRPr="00CA10B4">
        <w:t xml:space="preserve"> </w:t>
      </w:r>
      <w:r w:rsidRPr="00CA10B4">
        <w:t xml:space="preserve">One possibility, therefore, is that Ivan </w:t>
      </w:r>
      <w:r w:rsidR="00B164C3" w:rsidRPr="00CA10B4">
        <w:t>Bakrać</w:t>
      </w:r>
      <w:r w:rsidRPr="00CA10B4">
        <w:t xml:space="preserve"> misidentified Miroslav </w:t>
      </w:r>
      <w:r w:rsidR="00B164C3" w:rsidRPr="00CA10B4">
        <w:t>Šuljinić</w:t>
      </w:r>
      <w:r w:rsidRPr="00CA10B4">
        <w:t xml:space="preserve">. No other </w:t>
      </w:r>
      <w:r w:rsidRPr="00CA10B4">
        <w:rPr>
          <w:i/>
        </w:rPr>
        <w:t>viva voce</w:t>
      </w:r>
      <w:r w:rsidR="004677B7" w:rsidRPr="00CA10B4">
        <w:t xml:space="preserve"> </w:t>
      </w:r>
      <w:r w:rsidRPr="00CA10B4">
        <w:t xml:space="preserve">witnesses called by the Prosecution have testified to the presence of Miroslav </w:t>
      </w:r>
      <w:r w:rsidR="00B164C3" w:rsidRPr="00CA10B4">
        <w:t>Šuljinić</w:t>
      </w:r>
      <w:r w:rsidRPr="00CA10B4">
        <w:t xml:space="preserve"> at the</w:t>
      </w:r>
      <w:r w:rsidR="004677B7" w:rsidRPr="00CA10B4">
        <w:t xml:space="preserve"> </w:t>
      </w:r>
      <w:r w:rsidRPr="00CA10B4">
        <w:t xml:space="preserve">Llapushnik/Lapusnik prison camp. Further, the provenance of Miroslav </w:t>
      </w:r>
      <w:r w:rsidR="00B164C3" w:rsidRPr="00CA10B4">
        <w:t>Šuljinić</w:t>
      </w:r>
      <w:r w:rsidRPr="00CA10B4">
        <w:t>’s purported written</w:t>
      </w:r>
      <w:r w:rsidR="004677B7" w:rsidRPr="00CA10B4">
        <w:t xml:space="preserve"> </w:t>
      </w:r>
      <w:r w:rsidRPr="00CA10B4">
        <w:t xml:space="preserve">statement, identified as such by Jeremija </w:t>
      </w:r>
      <w:r w:rsidR="00B164C3" w:rsidRPr="00CA10B4">
        <w:t>Šuljinić</w:t>
      </w:r>
      <w:r w:rsidRPr="00CA10B4">
        <w:t>, is unknown. The Chamber is left, therefore, with</w:t>
      </w:r>
      <w:r w:rsidR="004677B7" w:rsidRPr="00CA10B4">
        <w:t xml:space="preserve"> </w:t>
      </w:r>
      <w:r w:rsidRPr="00CA10B4">
        <w:t xml:space="preserve">doubt as to whether Miroslav </w:t>
      </w:r>
      <w:r w:rsidR="00B164C3" w:rsidRPr="00CA10B4">
        <w:t>Šuljinić</w:t>
      </w:r>
      <w:r w:rsidRPr="00CA10B4">
        <w:t xml:space="preserve"> was detained at the Llapushnik/Lapusnik prison camp.</w:t>
      </w:r>
    </w:p>
    <w:p w:rsidR="004677B7" w:rsidRPr="00CA10B4" w:rsidRDefault="00413356" w:rsidP="00477162">
      <w:pPr>
        <w:pStyle w:val="ListParagraph"/>
        <w:spacing w:after="120"/>
        <w:ind w:left="630" w:right="270"/>
        <w:jc w:val="both"/>
      </w:pPr>
      <w:r w:rsidRPr="00CA10B4">
        <w:t>356. The Chamber therefore concludes that the elements of the offences of torture (Count 4),</w:t>
      </w:r>
      <w:r w:rsidR="004677B7" w:rsidRPr="00CA10B4">
        <w:t xml:space="preserve"> </w:t>
      </w:r>
      <w:r w:rsidRPr="00CA10B4">
        <w:t>cruel treatment (Count 6) and murder (Count 8) have not been established in relation to Miroslav</w:t>
      </w:r>
      <w:r w:rsidR="004677B7" w:rsidRPr="00CA10B4">
        <w:t xml:space="preserve"> </w:t>
      </w:r>
      <w:r w:rsidR="00B164C3" w:rsidRPr="00CA10B4">
        <w:t>Šuljinić</w:t>
      </w:r>
      <w:r w:rsidRPr="00CA10B4">
        <w:t>.</w:t>
      </w:r>
    </w:p>
    <w:p w:rsidR="00413356" w:rsidRPr="00CA10B4" w:rsidRDefault="004677B7" w:rsidP="00477162">
      <w:pPr>
        <w:autoSpaceDE w:val="0"/>
        <w:autoSpaceDN w:val="0"/>
        <w:adjustRightInd w:val="0"/>
        <w:spacing w:after="120"/>
        <w:ind w:left="630" w:right="270" w:firstLine="720"/>
        <w:jc w:val="both"/>
      </w:pPr>
      <w:r w:rsidRPr="00CA10B4">
        <w:tab/>
      </w:r>
      <w:r w:rsidR="00413356" w:rsidRPr="00CA10B4">
        <w:t xml:space="preserve">(xiii) </w:t>
      </w:r>
      <w:r w:rsidR="00B164C3" w:rsidRPr="00CA10B4">
        <w:rPr>
          <w:u w:val="single"/>
        </w:rPr>
        <w:t>Ž</w:t>
      </w:r>
      <w:r w:rsidR="00413356" w:rsidRPr="00CA10B4">
        <w:rPr>
          <w:u w:val="single"/>
        </w:rPr>
        <w:t>ivorad Krsti</w:t>
      </w:r>
      <w:r w:rsidR="00B164C3" w:rsidRPr="00CA10B4">
        <w:rPr>
          <w:u w:val="single"/>
        </w:rPr>
        <w:t>ć</w:t>
      </w:r>
    </w:p>
    <w:p w:rsidR="004677B7" w:rsidRPr="00CA10B4" w:rsidRDefault="00413356" w:rsidP="00477162">
      <w:pPr>
        <w:pStyle w:val="ListParagraph"/>
        <w:spacing w:after="120"/>
        <w:ind w:left="630" w:right="270"/>
        <w:jc w:val="both"/>
      </w:pPr>
      <w:r w:rsidRPr="00CA10B4">
        <w:t>357. According to the written statements of Sne`ana Simonovi</w:t>
      </w:r>
      <w:r w:rsidR="00B164C3" w:rsidRPr="00CA10B4">
        <w:t>ć</w:t>
      </w:r>
      <w:r w:rsidRPr="00CA10B4">
        <w:t xml:space="preserve"> and Stojan Stojanovi</w:t>
      </w:r>
      <w:r w:rsidR="00B164C3" w:rsidRPr="00CA10B4">
        <w:t>ć</w:t>
      </w:r>
      <w:r w:rsidRPr="00CA10B4">
        <w:t xml:space="preserve">, </w:t>
      </w:r>
      <w:r w:rsidR="00B164C3" w:rsidRPr="00CA10B4">
        <w:t>Živorad</w:t>
      </w:r>
      <w:r w:rsidR="004677B7" w:rsidRPr="00CA10B4">
        <w:t xml:space="preserve"> </w:t>
      </w:r>
      <w:r w:rsidRPr="00CA10B4">
        <w:t>Krsti</w:t>
      </w:r>
      <w:r w:rsidR="00B164C3" w:rsidRPr="00CA10B4">
        <w:t>ć</w:t>
      </w:r>
      <w:r w:rsidRPr="00CA10B4">
        <w:t xml:space="preserve">, an ethnic Serb, was taken off a bus on 25 June 1998 when returning from Prizren/Prizren </w:t>
      </w:r>
      <w:r w:rsidR="004677B7" w:rsidRPr="00CA10B4">
        <w:t>t</w:t>
      </w:r>
      <w:r w:rsidRPr="00CA10B4">
        <w:t>o</w:t>
      </w:r>
      <w:r w:rsidR="004677B7" w:rsidRPr="00CA10B4">
        <w:t xml:space="preserve"> </w:t>
      </w:r>
      <w:r w:rsidRPr="00CA10B4">
        <w:t>Prishtina/Pristina, after having attended a memorial service for his brother.1254 Stojan Stojanovi</w:t>
      </w:r>
      <w:r w:rsidR="00B164C3" w:rsidRPr="00CA10B4">
        <w:t>ć</w:t>
      </w:r>
      <w:r w:rsidR="004677B7" w:rsidRPr="00CA10B4">
        <w:t xml:space="preserve"> </w:t>
      </w:r>
      <w:r w:rsidRPr="00CA10B4">
        <w:t xml:space="preserve">heard from </w:t>
      </w:r>
      <w:r w:rsidR="00B164C3" w:rsidRPr="00CA10B4">
        <w:t>Živorad</w:t>
      </w:r>
      <w:r w:rsidRPr="00CA10B4">
        <w:t xml:space="preserve"> Krsti</w:t>
      </w:r>
      <w:r w:rsidR="00B164C3" w:rsidRPr="00CA10B4">
        <w:t>ć</w:t>
      </w:r>
      <w:r w:rsidRPr="00CA10B4">
        <w:t xml:space="preserve">’s nephew that </w:t>
      </w:r>
      <w:r w:rsidR="00B164C3" w:rsidRPr="00CA10B4">
        <w:t>Živorad</w:t>
      </w:r>
      <w:r w:rsidRPr="00CA10B4">
        <w:t xml:space="preserve"> Krsti</w:t>
      </w:r>
      <w:r w:rsidR="00B164C3" w:rsidRPr="00CA10B4">
        <w:t>ć</w:t>
      </w:r>
      <w:r w:rsidRPr="00CA10B4">
        <w:t xml:space="preserve"> was taken off the bus in</w:t>
      </w:r>
      <w:r w:rsidR="004677B7" w:rsidRPr="00CA10B4">
        <w:t xml:space="preserve"> </w:t>
      </w:r>
      <w:r w:rsidRPr="00CA10B4">
        <w:t>Carraleve/Crnoljevo. According to Stojan Stojanovi</w:t>
      </w:r>
      <w:r w:rsidR="00B164C3" w:rsidRPr="00CA10B4">
        <w:t>ć</w:t>
      </w:r>
      <w:r w:rsidRPr="00CA10B4">
        <w:t>, the bus was stopped by soldiers who</w:t>
      </w:r>
      <w:r w:rsidR="004677B7" w:rsidRPr="00CA10B4">
        <w:t xml:space="preserve"> </w:t>
      </w:r>
      <w:r w:rsidRPr="00CA10B4">
        <w:t xml:space="preserve">introduced themselves as members of the KLA. </w:t>
      </w:r>
      <w:r w:rsidR="00B164C3" w:rsidRPr="00CA10B4">
        <w:t>Živorad</w:t>
      </w:r>
      <w:r w:rsidRPr="00CA10B4">
        <w:t xml:space="preserve"> Krsti</w:t>
      </w:r>
      <w:r w:rsidR="00B164C3" w:rsidRPr="00CA10B4">
        <w:t>ć</w:t>
      </w:r>
      <w:r w:rsidRPr="00CA10B4">
        <w:t>’s bag and identification</w:t>
      </w:r>
      <w:r w:rsidR="004677B7" w:rsidRPr="00CA10B4">
        <w:t xml:space="preserve"> </w:t>
      </w:r>
      <w:r w:rsidRPr="00CA10B4">
        <w:t xml:space="preserve">documents were found on the bus. </w:t>
      </w:r>
      <w:r w:rsidR="00B164C3" w:rsidRPr="00CA10B4">
        <w:t>Živorad</w:t>
      </w:r>
      <w:r w:rsidRPr="00CA10B4">
        <w:t xml:space="preserve"> Krsti</w:t>
      </w:r>
      <w:r w:rsidR="00B164C3" w:rsidRPr="00CA10B4">
        <w:t>ć</w:t>
      </w:r>
      <w:r w:rsidRPr="00CA10B4">
        <w:t xml:space="preserve"> was kidnapped with two other unidentified</w:t>
      </w:r>
      <w:r w:rsidR="004677B7" w:rsidRPr="00CA10B4">
        <w:t xml:space="preserve"> </w:t>
      </w:r>
      <w:r w:rsidRPr="00CA10B4">
        <w:t>Serbs.</w:t>
      </w:r>
    </w:p>
    <w:p w:rsidR="004677B7" w:rsidRPr="00CA10B4" w:rsidRDefault="00413356" w:rsidP="00477162">
      <w:pPr>
        <w:pStyle w:val="ListParagraph"/>
        <w:tabs>
          <w:tab w:val="left" w:pos="1620"/>
        </w:tabs>
        <w:spacing w:after="120"/>
        <w:ind w:left="630" w:right="270"/>
        <w:jc w:val="both"/>
      </w:pPr>
      <w:r w:rsidRPr="00CA10B4">
        <w:t>358.</w:t>
      </w:r>
      <w:r w:rsidR="004677B7" w:rsidRPr="00CA10B4">
        <w:t xml:space="preserve"> </w:t>
      </w:r>
      <w:r w:rsidR="00B164C3" w:rsidRPr="00CA10B4">
        <w:t>Živorad</w:t>
      </w:r>
      <w:r w:rsidRPr="00CA10B4">
        <w:t xml:space="preserve"> Krsti</w:t>
      </w:r>
      <w:r w:rsidR="00B164C3" w:rsidRPr="00CA10B4">
        <w:t>ć</w:t>
      </w:r>
      <w:r w:rsidRPr="00CA10B4">
        <w:t>’s brother in law stated that he met with two men who had been released</w:t>
      </w:r>
      <w:r w:rsidR="004677B7" w:rsidRPr="00CA10B4">
        <w:t xml:space="preserve"> </w:t>
      </w:r>
      <w:r w:rsidRPr="00CA10B4">
        <w:t>through the International Committee of the Red Cross. Both men, when shown a photograph of</w:t>
      </w:r>
      <w:r w:rsidR="004677B7" w:rsidRPr="00CA10B4">
        <w:t xml:space="preserve"> </w:t>
      </w:r>
      <w:r w:rsidR="00B164C3" w:rsidRPr="00CA10B4">
        <w:t>Živorad</w:t>
      </w:r>
      <w:r w:rsidRPr="00CA10B4">
        <w:t xml:space="preserve"> Krsti</w:t>
      </w:r>
      <w:r w:rsidR="00B164C3" w:rsidRPr="00CA10B4">
        <w:t>ć</w:t>
      </w:r>
      <w:r w:rsidRPr="00CA10B4">
        <w:t>, recognised him as having been held in a detention camp with them. The</w:t>
      </w:r>
      <w:r w:rsidR="004677B7" w:rsidRPr="00CA10B4">
        <w:t xml:space="preserve"> </w:t>
      </w:r>
      <w:r w:rsidRPr="00CA10B4">
        <w:t>identities of the two men are not made clear in the written statement, but their description and</w:t>
      </w:r>
      <w:r w:rsidR="004677B7" w:rsidRPr="00CA10B4">
        <w:t xml:space="preserve"> </w:t>
      </w:r>
      <w:r w:rsidRPr="00CA10B4">
        <w:t xml:space="preserve">circumstances match those of the </w:t>
      </w:r>
      <w:r w:rsidR="00B164C3" w:rsidRPr="00CA10B4">
        <w:t>Bakrać’</w:t>
      </w:r>
      <w:r w:rsidRPr="00CA10B4">
        <w:t>s. Sne`ana Simonovi</w:t>
      </w:r>
      <w:r w:rsidR="00B164C3" w:rsidRPr="00CA10B4">
        <w:t>ć</w:t>
      </w:r>
      <w:r w:rsidRPr="00CA10B4">
        <w:t xml:space="preserve">, </w:t>
      </w:r>
      <w:r w:rsidR="00B164C3" w:rsidRPr="00CA10B4">
        <w:t>Živorad</w:t>
      </w:r>
      <w:r w:rsidRPr="00CA10B4">
        <w:t xml:space="preserve"> Krsti</w:t>
      </w:r>
      <w:r w:rsidR="00B164C3" w:rsidRPr="00CA10B4">
        <w:t>ć</w:t>
      </w:r>
      <w:r w:rsidRPr="00CA10B4">
        <w:t>’s daughter, in a</w:t>
      </w:r>
      <w:r w:rsidR="004677B7" w:rsidRPr="00CA10B4">
        <w:t xml:space="preserve"> </w:t>
      </w:r>
      <w:r w:rsidRPr="00CA10B4">
        <w:t>written statement noted that in October 1998 she was informed by an individual that prisoners at a</w:t>
      </w:r>
      <w:r w:rsidR="004677B7" w:rsidRPr="00CA10B4">
        <w:t xml:space="preserve"> </w:t>
      </w:r>
      <w:r w:rsidRPr="00CA10B4">
        <w:t xml:space="preserve">camp somewhere near </w:t>
      </w:r>
      <w:r w:rsidRPr="00CA10B4">
        <w:lastRenderedPageBreak/>
        <w:t>Suhareke/Suva Reka told him that there was a man in the camp with the</w:t>
      </w:r>
      <w:r w:rsidR="004677B7" w:rsidRPr="00CA10B4">
        <w:t xml:space="preserve"> </w:t>
      </w:r>
      <w:r w:rsidRPr="00CA10B4">
        <w:t>name of Krsti</w:t>
      </w:r>
      <w:r w:rsidR="00B164C3" w:rsidRPr="00CA10B4">
        <w:t>ć</w:t>
      </w:r>
      <w:r w:rsidRPr="00CA10B4">
        <w:t>, from Prishtina/Pristina, who had three dau</w:t>
      </w:r>
      <w:r w:rsidR="004677B7" w:rsidRPr="00CA10B4">
        <w:t xml:space="preserve">ghters and was in poor health. </w:t>
      </w:r>
      <w:r w:rsidR="00B164C3" w:rsidRPr="00CA10B4">
        <w:t>Živorad</w:t>
      </w:r>
      <w:r w:rsidRPr="00CA10B4">
        <w:t xml:space="preserve"> Krsti</w:t>
      </w:r>
      <w:r w:rsidR="00B164C3" w:rsidRPr="00CA10B4">
        <w:t>ć</w:t>
      </w:r>
      <w:r w:rsidRPr="00CA10B4">
        <w:t xml:space="preserve"> had three daughters. Vojko </w:t>
      </w:r>
      <w:r w:rsidR="00B164C3" w:rsidRPr="00CA10B4">
        <w:t>Bakrać</w:t>
      </w:r>
      <w:r w:rsidRPr="00CA10B4">
        <w:t xml:space="preserve"> stated that there was an elderly, sick</w:t>
      </w:r>
      <w:r w:rsidR="004677B7" w:rsidRPr="00CA10B4">
        <w:t xml:space="preserve"> </w:t>
      </w:r>
      <w:r w:rsidRPr="00CA10B4">
        <w:t>gentleman detained in the storage room at the Llapushnik/Lapusnik prison camp. He testified</w:t>
      </w:r>
      <w:r w:rsidR="004677B7" w:rsidRPr="00CA10B4">
        <w:t xml:space="preserve"> </w:t>
      </w:r>
      <w:r w:rsidRPr="00CA10B4">
        <w:t>that the elderly gentleman had diabetes and had undergone eye surgery shortly before being</w:t>
      </w:r>
      <w:r w:rsidR="004677B7" w:rsidRPr="00CA10B4">
        <w:t xml:space="preserve"> </w:t>
      </w:r>
      <w:r w:rsidRPr="00CA10B4">
        <w:t xml:space="preserve">apprehended. Vojko </w:t>
      </w:r>
      <w:r w:rsidR="00B164C3" w:rsidRPr="00CA10B4">
        <w:t>Bakrać</w:t>
      </w:r>
      <w:r w:rsidRPr="00CA10B4">
        <w:t xml:space="preserve"> identified </w:t>
      </w:r>
      <w:r w:rsidR="00B164C3" w:rsidRPr="00CA10B4">
        <w:t>Živorad</w:t>
      </w:r>
      <w:r w:rsidRPr="00CA10B4">
        <w:t xml:space="preserve"> Krsti</w:t>
      </w:r>
      <w:r w:rsidR="00B164C3" w:rsidRPr="00CA10B4">
        <w:t>ć</w:t>
      </w:r>
      <w:r w:rsidRPr="00CA10B4">
        <w:t xml:space="preserve"> by photograph as a detainee in the storage</w:t>
      </w:r>
      <w:r w:rsidR="004677B7" w:rsidRPr="00CA10B4">
        <w:t xml:space="preserve"> </w:t>
      </w:r>
      <w:r w:rsidRPr="00CA10B4">
        <w:t xml:space="preserve">room. Vojko </w:t>
      </w:r>
      <w:r w:rsidR="00B164C3" w:rsidRPr="00CA10B4">
        <w:t>Bakrać</w:t>
      </w:r>
      <w:r w:rsidRPr="00CA10B4">
        <w:t xml:space="preserve"> stated that this elderly man was the only detainee who had grey hair. The written statement of Sne</w:t>
      </w:r>
      <w:r w:rsidR="00B164C3" w:rsidRPr="00CA10B4">
        <w:t>ž</w:t>
      </w:r>
      <w:r w:rsidRPr="00CA10B4">
        <w:t>ana Simonovi</w:t>
      </w:r>
      <w:r w:rsidR="00B164C3" w:rsidRPr="00CA10B4">
        <w:t>ć</w:t>
      </w:r>
      <w:r w:rsidRPr="00CA10B4">
        <w:t xml:space="preserve"> confirmed that </w:t>
      </w:r>
      <w:r w:rsidR="00B164C3" w:rsidRPr="00CA10B4">
        <w:t>Živorad</w:t>
      </w:r>
      <w:r w:rsidRPr="00CA10B4">
        <w:t xml:space="preserve"> Krsti</w:t>
      </w:r>
      <w:r w:rsidR="00B164C3" w:rsidRPr="00CA10B4">
        <w:t>ć</w:t>
      </w:r>
      <w:r w:rsidRPr="00CA10B4">
        <w:t xml:space="preserve"> had undergone eye</w:t>
      </w:r>
      <w:r w:rsidR="004677B7" w:rsidRPr="00CA10B4">
        <w:t xml:space="preserve"> </w:t>
      </w:r>
      <w:r w:rsidRPr="00CA10B4">
        <w:t xml:space="preserve">surgery approximately one month prior to his apprehension.1268 </w:t>
      </w:r>
      <w:proofErr w:type="gramStart"/>
      <w:r w:rsidRPr="00CA10B4">
        <w:t>In</w:t>
      </w:r>
      <w:proofErr w:type="gramEnd"/>
      <w:r w:rsidRPr="00CA10B4">
        <w:t xml:space="preserve"> her written statement Sne</w:t>
      </w:r>
      <w:r w:rsidR="00B164C3" w:rsidRPr="00CA10B4">
        <w:t>ž</w:t>
      </w:r>
      <w:r w:rsidRPr="00CA10B4">
        <w:t>ana</w:t>
      </w:r>
      <w:r w:rsidR="004677B7" w:rsidRPr="00CA10B4">
        <w:t xml:space="preserve"> </w:t>
      </w:r>
      <w:r w:rsidRPr="00CA10B4">
        <w:t>Simonovi</w:t>
      </w:r>
      <w:r w:rsidR="00B164C3" w:rsidRPr="00CA10B4">
        <w:t>ć</w:t>
      </w:r>
      <w:r w:rsidRPr="00CA10B4">
        <w:t xml:space="preserve"> further stated that </w:t>
      </w:r>
      <w:r w:rsidR="00B164C3" w:rsidRPr="00CA10B4">
        <w:t>Živorad</w:t>
      </w:r>
      <w:r w:rsidRPr="00CA10B4">
        <w:t xml:space="preserve"> Krsti</w:t>
      </w:r>
      <w:r w:rsidR="00B164C3" w:rsidRPr="00CA10B4">
        <w:t>ć</w:t>
      </w:r>
      <w:r w:rsidRPr="00CA10B4">
        <w:t xml:space="preserve"> was taking medication for diabetes at the time of his apprehension.</w:t>
      </w:r>
    </w:p>
    <w:p w:rsidR="004677B7" w:rsidRPr="00CA10B4" w:rsidRDefault="00413356" w:rsidP="00477162">
      <w:pPr>
        <w:pStyle w:val="ListParagraph"/>
        <w:spacing w:after="120"/>
        <w:ind w:left="630" w:right="270"/>
        <w:jc w:val="both"/>
      </w:pPr>
      <w:r w:rsidRPr="00CA10B4">
        <w:t xml:space="preserve">359. The Chamber accepts that </w:t>
      </w:r>
      <w:r w:rsidR="00B164C3" w:rsidRPr="00CA10B4">
        <w:t>Živorad</w:t>
      </w:r>
      <w:r w:rsidRPr="00CA10B4">
        <w:t xml:space="preserve"> Krsti</w:t>
      </w:r>
      <w:r w:rsidR="00B164C3" w:rsidRPr="00CA10B4">
        <w:t>ć</w:t>
      </w:r>
      <w:r w:rsidRPr="00CA10B4">
        <w:t xml:space="preserve"> was detained by the KLA in the storage room at</w:t>
      </w:r>
      <w:r w:rsidR="004677B7" w:rsidRPr="00CA10B4">
        <w:t xml:space="preserve"> </w:t>
      </w:r>
      <w:r w:rsidRPr="00CA10B4">
        <w:t>Llapushnik/Lapusnik for an unspecified period of time beginning on 25 June 1998. The Chamber</w:t>
      </w:r>
      <w:r w:rsidR="004677B7" w:rsidRPr="00CA10B4">
        <w:t xml:space="preserve"> </w:t>
      </w:r>
      <w:r w:rsidRPr="00CA10B4">
        <w:t xml:space="preserve">accepts that he was taking no active part in hostilities at the time. The Chamber finds that </w:t>
      </w:r>
      <w:r w:rsidR="00B164C3" w:rsidRPr="00CA10B4">
        <w:t>Živorad</w:t>
      </w:r>
      <w:r w:rsidR="004677B7" w:rsidRPr="00CA10B4">
        <w:t xml:space="preserve"> </w:t>
      </w:r>
      <w:r w:rsidRPr="00CA10B4">
        <w:t>Krsti</w:t>
      </w:r>
      <w:r w:rsidR="00B164C3" w:rsidRPr="00CA10B4">
        <w:t>ć</w:t>
      </w:r>
      <w:r w:rsidRPr="00CA10B4">
        <w:t xml:space="preserve"> was subjected to cruel treatment due to the general conditions in the storage room. The</w:t>
      </w:r>
      <w:r w:rsidR="004677B7" w:rsidRPr="00CA10B4">
        <w:t xml:space="preserve"> </w:t>
      </w:r>
      <w:r w:rsidRPr="00CA10B4">
        <w:t>Chamber has accepted that those conditions were such that detention in the storage room</w:t>
      </w:r>
      <w:r w:rsidR="004677B7" w:rsidRPr="00CA10B4">
        <w:t xml:space="preserve"> </w:t>
      </w:r>
      <w:r w:rsidRPr="00CA10B4">
        <w:t xml:space="preserve">constituted the offence of cruel treatment. The Chamber takes into account, specifically, </w:t>
      </w:r>
      <w:r w:rsidR="00B164C3" w:rsidRPr="00CA10B4">
        <w:t>Živorad</w:t>
      </w:r>
      <w:r w:rsidR="004677B7" w:rsidRPr="00CA10B4">
        <w:t xml:space="preserve"> </w:t>
      </w:r>
      <w:r w:rsidRPr="00CA10B4">
        <w:t>Krsti</w:t>
      </w:r>
      <w:r w:rsidR="00B164C3" w:rsidRPr="00CA10B4">
        <w:t>ć</w:t>
      </w:r>
      <w:r w:rsidRPr="00CA10B4">
        <w:t>’s age and medical condition at the time of his detention. He was in poor health, suffering</w:t>
      </w:r>
      <w:r w:rsidR="004677B7" w:rsidRPr="00CA10B4">
        <w:t xml:space="preserve"> </w:t>
      </w:r>
      <w:r w:rsidRPr="00CA10B4">
        <w:t>from diabetes, and recovering from eye surgery at the time he was apprehended. There is no</w:t>
      </w:r>
      <w:r w:rsidR="004677B7" w:rsidRPr="00CA10B4">
        <w:t xml:space="preserve"> </w:t>
      </w:r>
      <w:r w:rsidRPr="00CA10B4">
        <w:t xml:space="preserve">evidence that </w:t>
      </w:r>
      <w:r w:rsidR="00B164C3" w:rsidRPr="00CA10B4">
        <w:t>Živorad</w:t>
      </w:r>
      <w:r w:rsidRPr="00CA10B4">
        <w:t xml:space="preserve"> Krsti</w:t>
      </w:r>
      <w:r w:rsidR="00B164C3" w:rsidRPr="00CA10B4">
        <w:t>ć</w:t>
      </w:r>
      <w:r w:rsidRPr="00CA10B4">
        <w:t xml:space="preserve"> was subjected to torture at the Llapushnik/Lapusnik prison camp.</w:t>
      </w:r>
    </w:p>
    <w:p w:rsidR="004677B7" w:rsidRPr="00CA10B4" w:rsidRDefault="00413356" w:rsidP="00477162">
      <w:pPr>
        <w:pStyle w:val="ListParagraph"/>
        <w:spacing w:after="120"/>
        <w:ind w:left="630" w:right="270"/>
        <w:jc w:val="both"/>
      </w:pPr>
      <w:r w:rsidRPr="00CA10B4">
        <w:t xml:space="preserve">360. The Prosecution alleges that </w:t>
      </w:r>
      <w:r w:rsidR="00B164C3" w:rsidRPr="00CA10B4">
        <w:t>Živorad</w:t>
      </w:r>
      <w:r w:rsidRPr="00CA10B4">
        <w:t xml:space="preserve"> Krsti</w:t>
      </w:r>
      <w:r w:rsidR="00B164C3" w:rsidRPr="00CA10B4">
        <w:t>ć</w:t>
      </w:r>
      <w:r w:rsidRPr="00CA10B4">
        <w:t xml:space="preserve"> was murdered between 24 June 1998 and</w:t>
      </w:r>
      <w:r w:rsidR="004677B7" w:rsidRPr="00CA10B4">
        <w:t xml:space="preserve"> </w:t>
      </w:r>
      <w:r w:rsidRPr="00CA10B4">
        <w:t>26 July 1998 at the Llapu</w:t>
      </w:r>
      <w:r w:rsidR="004677B7" w:rsidRPr="00CA10B4">
        <w:t xml:space="preserve">shnik/Lapusnik prison camp. </w:t>
      </w:r>
      <w:r w:rsidRPr="00CA10B4">
        <w:t>Again, the evidence relied upon by the</w:t>
      </w:r>
      <w:r w:rsidR="004677B7" w:rsidRPr="00CA10B4">
        <w:t xml:space="preserve"> </w:t>
      </w:r>
      <w:r w:rsidRPr="00CA10B4">
        <w:t>Prosecution is circumstantial; the Prosecution invites the Chamber to have regard to the factors in Prosecutor v. Krnojelac.</w:t>
      </w:r>
    </w:p>
    <w:p w:rsidR="004677B7" w:rsidRPr="00CA10B4" w:rsidRDefault="00413356" w:rsidP="00477162">
      <w:pPr>
        <w:pStyle w:val="ListParagraph"/>
        <w:spacing w:after="120"/>
        <w:ind w:left="630" w:right="270"/>
        <w:jc w:val="both"/>
      </w:pPr>
      <w:r w:rsidRPr="00CA10B4">
        <w:t xml:space="preserve">361. There is no evidence of </w:t>
      </w:r>
      <w:r w:rsidR="00B164C3" w:rsidRPr="00CA10B4">
        <w:t>Živorad</w:t>
      </w:r>
      <w:r w:rsidRPr="00CA10B4">
        <w:t xml:space="preserve"> Krsti</w:t>
      </w:r>
      <w:r w:rsidR="00B164C3" w:rsidRPr="00CA10B4">
        <w:t>ć</w:t>
      </w:r>
      <w:r w:rsidRPr="00CA10B4">
        <w:t>’s direct mistreatment at the Llapushnik/Lapusnik</w:t>
      </w:r>
      <w:r w:rsidR="004677B7" w:rsidRPr="00CA10B4">
        <w:t xml:space="preserve"> </w:t>
      </w:r>
      <w:r w:rsidRPr="00CA10B4">
        <w:t xml:space="preserve">prison camp. </w:t>
      </w:r>
      <w:r w:rsidR="00B164C3" w:rsidRPr="00CA10B4">
        <w:t>Živorad</w:t>
      </w:r>
      <w:r w:rsidRPr="00CA10B4">
        <w:t xml:space="preserve"> Krsti</w:t>
      </w:r>
      <w:r w:rsidR="00B164C3" w:rsidRPr="00CA10B4">
        <w:t>ć</w:t>
      </w:r>
      <w:r w:rsidRPr="00CA10B4">
        <w:t xml:space="preserve"> has not contacted his friends or family since his disappearance.</w:t>
      </w:r>
      <w:r w:rsidR="004677B7" w:rsidRPr="00CA10B4">
        <w:t xml:space="preserve"> </w:t>
      </w:r>
      <w:r w:rsidRPr="00CA10B4">
        <w:t>Sne`ana Simonovi</w:t>
      </w:r>
      <w:r w:rsidR="00B164C3" w:rsidRPr="00CA10B4">
        <w:t>ć</w:t>
      </w:r>
      <w:r w:rsidRPr="00CA10B4">
        <w:t xml:space="preserve"> stated that she was informed that </w:t>
      </w:r>
      <w:r w:rsidR="00B164C3" w:rsidRPr="00CA10B4">
        <w:t>Živorad</w:t>
      </w:r>
      <w:r w:rsidRPr="00CA10B4">
        <w:t xml:space="preserve"> Krsti</w:t>
      </w:r>
      <w:r w:rsidR="00B164C3" w:rsidRPr="00CA10B4">
        <w:t>ć</w:t>
      </w:r>
      <w:r w:rsidRPr="00CA10B4">
        <w:t xml:space="preserve"> was alive in October 1998. In</w:t>
      </w:r>
      <w:r w:rsidR="004677B7" w:rsidRPr="00CA10B4">
        <w:t xml:space="preserve"> </w:t>
      </w:r>
      <w:r w:rsidRPr="00CA10B4">
        <w:t>his written statement, Stojan Stojanovi</w:t>
      </w:r>
      <w:r w:rsidR="00B164C3" w:rsidRPr="00CA10B4">
        <w:t>ć</w:t>
      </w:r>
      <w:r w:rsidRPr="00CA10B4">
        <w:t xml:space="preserve"> stated that Bo</w:t>
      </w:r>
      <w:r w:rsidR="00B164C3" w:rsidRPr="00CA10B4">
        <w:t>š</w:t>
      </w:r>
      <w:r w:rsidRPr="00CA10B4">
        <w:t>ko Buha told him sometime in 1999 that</w:t>
      </w:r>
      <w:r w:rsidR="004677B7" w:rsidRPr="00CA10B4">
        <w:t xml:space="preserve"> </w:t>
      </w:r>
      <w:r w:rsidR="00B164C3" w:rsidRPr="00CA10B4">
        <w:t>Živorad</w:t>
      </w:r>
      <w:r w:rsidRPr="00CA10B4">
        <w:t xml:space="preserve"> Krsti</w:t>
      </w:r>
      <w:r w:rsidR="00B164C3" w:rsidRPr="00CA10B4">
        <w:t>ć</w:t>
      </w:r>
      <w:r w:rsidRPr="00CA10B4">
        <w:t xml:space="preserve"> had died.1271 Bo</w:t>
      </w:r>
      <w:r w:rsidR="00B164C3" w:rsidRPr="00CA10B4">
        <w:t>š</w:t>
      </w:r>
      <w:r w:rsidRPr="00CA10B4">
        <w:t>ko Buha could not tell Stojan Stojanovi</w:t>
      </w:r>
      <w:r w:rsidR="00B164C3" w:rsidRPr="00CA10B4">
        <w:t>ć</w:t>
      </w:r>
      <w:r w:rsidRPr="00CA10B4">
        <w:t xml:space="preserve"> exactly when </w:t>
      </w:r>
      <w:r w:rsidR="00B164C3" w:rsidRPr="00CA10B4">
        <w:t>Živorad</w:t>
      </w:r>
      <w:r w:rsidR="004677B7" w:rsidRPr="00CA10B4">
        <w:t xml:space="preserve"> </w:t>
      </w:r>
      <w:r w:rsidRPr="00CA10B4">
        <w:t>Krsti</w:t>
      </w:r>
      <w:r w:rsidR="00B164C3" w:rsidRPr="00CA10B4">
        <w:t>ć</w:t>
      </w:r>
      <w:r w:rsidRPr="00CA10B4">
        <w:t xml:space="preserve"> had died, or the circumstances of his death. However, Stojan Stojanovi</w:t>
      </w:r>
      <w:r w:rsidR="00B164C3" w:rsidRPr="00CA10B4">
        <w:t>ć</w:t>
      </w:r>
      <w:r w:rsidRPr="00CA10B4">
        <w:t xml:space="preserve"> was told by</w:t>
      </w:r>
      <w:r w:rsidR="004677B7" w:rsidRPr="00CA10B4">
        <w:t xml:space="preserve"> </w:t>
      </w:r>
      <w:r w:rsidRPr="00CA10B4">
        <w:t>Bo</w:t>
      </w:r>
      <w:r w:rsidR="00B164C3" w:rsidRPr="00CA10B4">
        <w:t>š</w:t>
      </w:r>
      <w:r w:rsidRPr="00CA10B4">
        <w:t xml:space="preserve">ko Buha that </w:t>
      </w:r>
      <w:r w:rsidR="00B164C3" w:rsidRPr="00CA10B4">
        <w:t>Živorad</w:t>
      </w:r>
      <w:r w:rsidRPr="00CA10B4">
        <w:t xml:space="preserve"> Krsti</w:t>
      </w:r>
      <w:r w:rsidR="00B164C3" w:rsidRPr="00CA10B4">
        <w:t>ć</w:t>
      </w:r>
      <w:r w:rsidRPr="00CA10B4">
        <w:t xml:space="preserve"> had died “some time ago.” Stojan Stojanovi</w:t>
      </w:r>
      <w:r w:rsidR="00B164C3" w:rsidRPr="00CA10B4">
        <w:t>ć</w:t>
      </w:r>
      <w:r w:rsidRPr="00CA10B4">
        <w:t xml:space="preserve"> also heard that</w:t>
      </w:r>
      <w:r w:rsidR="004677B7" w:rsidRPr="00CA10B4">
        <w:t xml:space="preserve"> </w:t>
      </w:r>
      <w:r w:rsidR="00B164C3" w:rsidRPr="00CA10B4">
        <w:t>Živorad</w:t>
      </w:r>
      <w:r w:rsidRPr="00CA10B4">
        <w:t xml:space="preserve"> Krsti</w:t>
      </w:r>
      <w:r w:rsidR="00B164C3" w:rsidRPr="00CA10B4">
        <w:t>ć</w:t>
      </w:r>
      <w:r w:rsidRPr="00CA10B4">
        <w:t xml:space="preserve">’s nephews, who had been trying to negotiate </w:t>
      </w:r>
      <w:r w:rsidR="00B164C3" w:rsidRPr="00CA10B4">
        <w:t>Živorad</w:t>
      </w:r>
      <w:r w:rsidRPr="00CA10B4">
        <w:t xml:space="preserve"> Krsti</w:t>
      </w:r>
      <w:r w:rsidR="00B164C3" w:rsidRPr="00CA10B4">
        <w:t>ć</w:t>
      </w:r>
      <w:r w:rsidRPr="00CA10B4">
        <w:t>’s release, were also told</w:t>
      </w:r>
      <w:r w:rsidR="004677B7" w:rsidRPr="00CA10B4">
        <w:t xml:space="preserve"> </w:t>
      </w:r>
      <w:r w:rsidRPr="00CA10B4">
        <w:t xml:space="preserve">that he had died. While these hearsay accounts cannot establish that </w:t>
      </w:r>
      <w:r w:rsidR="00B164C3" w:rsidRPr="00CA10B4">
        <w:t>Živorad</w:t>
      </w:r>
      <w:r w:rsidRPr="00CA10B4">
        <w:t xml:space="preserve"> Krsti</w:t>
      </w:r>
      <w:r w:rsidR="00B164C3" w:rsidRPr="00CA10B4">
        <w:t>ć</w:t>
      </w:r>
      <w:r w:rsidRPr="00CA10B4">
        <w:t xml:space="preserve"> is dead,</w:t>
      </w:r>
      <w:r w:rsidR="004677B7" w:rsidRPr="00CA10B4">
        <w:t xml:space="preserve"> </w:t>
      </w:r>
      <w:r w:rsidRPr="00CA10B4">
        <w:t>none of them provides any basis for believing he may still be alive. However, upon the evidence</w:t>
      </w:r>
      <w:r w:rsidR="004677B7" w:rsidRPr="00CA10B4">
        <w:t xml:space="preserve"> </w:t>
      </w:r>
      <w:r w:rsidRPr="00CA10B4">
        <w:t xml:space="preserve">the Chamber finds that it it is unable to conclude, with sufficient certainty, that </w:t>
      </w:r>
      <w:r w:rsidR="00B164C3" w:rsidRPr="00CA10B4">
        <w:t>Živorad</w:t>
      </w:r>
      <w:r w:rsidRPr="00CA10B4">
        <w:t xml:space="preserve"> Krsti</w:t>
      </w:r>
      <w:r w:rsidR="00B164C3" w:rsidRPr="00CA10B4">
        <w:t>ć</w:t>
      </w:r>
      <w:r w:rsidRPr="00CA10B4">
        <w:t xml:space="preserve"> is dead.</w:t>
      </w:r>
    </w:p>
    <w:p w:rsidR="004677B7" w:rsidRPr="00CA10B4" w:rsidRDefault="00413356" w:rsidP="00477162">
      <w:pPr>
        <w:pStyle w:val="ListParagraph"/>
        <w:spacing w:after="120"/>
        <w:ind w:left="630" w:right="270"/>
        <w:jc w:val="both"/>
      </w:pPr>
      <w:r w:rsidRPr="00CA10B4">
        <w:t xml:space="preserve">362. If it be accepted, for the present, that </w:t>
      </w:r>
      <w:r w:rsidR="00B164C3" w:rsidRPr="00CA10B4">
        <w:t>Živorad</w:t>
      </w:r>
      <w:r w:rsidRPr="00CA10B4">
        <w:t xml:space="preserve"> Krsti</w:t>
      </w:r>
      <w:r w:rsidR="00B164C3" w:rsidRPr="00CA10B4">
        <w:t>ć</w:t>
      </w:r>
      <w:r w:rsidRPr="00CA10B4">
        <w:t xml:space="preserve"> died in the prison camp, two possible</w:t>
      </w:r>
      <w:r w:rsidR="004677B7" w:rsidRPr="00CA10B4">
        <w:t xml:space="preserve"> </w:t>
      </w:r>
      <w:r w:rsidRPr="00CA10B4">
        <w:t>inferences would support the offence of murder, namely that he was deliberately killed by an</w:t>
      </w:r>
      <w:r w:rsidR="004677B7" w:rsidRPr="00CA10B4">
        <w:t xml:space="preserve"> </w:t>
      </w:r>
      <w:r w:rsidRPr="00CA10B4">
        <w:t>individual or individuals, or that he died because medical care was deliberately withheld. There is</w:t>
      </w:r>
      <w:r w:rsidR="004677B7" w:rsidRPr="00CA10B4">
        <w:t xml:space="preserve"> </w:t>
      </w:r>
      <w:r w:rsidRPr="00CA10B4">
        <w:t>insufficient evidence before the Chamber to support the first inference. On the evidence before the</w:t>
      </w:r>
      <w:r w:rsidR="004677B7" w:rsidRPr="00CA10B4">
        <w:t xml:space="preserve"> </w:t>
      </w:r>
      <w:r w:rsidRPr="00CA10B4">
        <w:t>Chamber, the element of intent has not been established that would support the second inference. In</w:t>
      </w:r>
      <w:r w:rsidR="004677B7" w:rsidRPr="00CA10B4">
        <w:t xml:space="preserve"> </w:t>
      </w:r>
      <w:r w:rsidRPr="00CA10B4">
        <w:t xml:space="preserve">the circumstances the offence of murder has not been established with respect to </w:t>
      </w:r>
      <w:r w:rsidR="00B164C3" w:rsidRPr="00CA10B4">
        <w:t>Živorad</w:t>
      </w:r>
      <w:r w:rsidRPr="00CA10B4">
        <w:t xml:space="preserve"> Krsti</w:t>
      </w:r>
      <w:r w:rsidR="00B164C3" w:rsidRPr="00CA10B4">
        <w:t>ć</w:t>
      </w:r>
      <w:r w:rsidRPr="00CA10B4">
        <w:t>.</w:t>
      </w:r>
    </w:p>
    <w:p w:rsidR="00413356" w:rsidRPr="00CA10B4" w:rsidRDefault="00413356" w:rsidP="00477162">
      <w:pPr>
        <w:pStyle w:val="ListParagraph"/>
        <w:spacing w:after="120"/>
        <w:ind w:left="630" w:right="270"/>
        <w:jc w:val="both"/>
      </w:pPr>
      <w:r w:rsidRPr="00CA10B4">
        <w:lastRenderedPageBreak/>
        <w:t>363.</w:t>
      </w:r>
      <w:r w:rsidR="004677B7" w:rsidRPr="00CA10B4">
        <w:t xml:space="preserve"> </w:t>
      </w:r>
      <w:r w:rsidRPr="00CA10B4">
        <w:t>The Chamber therefore concludes that the elements of the offence of torture (Count 4) have</w:t>
      </w:r>
      <w:r w:rsidR="004677B7" w:rsidRPr="00CA10B4">
        <w:t xml:space="preserve"> </w:t>
      </w:r>
      <w:r w:rsidRPr="00CA10B4">
        <w:t xml:space="preserve">not been established in relation to </w:t>
      </w:r>
      <w:r w:rsidR="00B164C3" w:rsidRPr="00CA10B4">
        <w:t>Živorad</w:t>
      </w:r>
      <w:r w:rsidRPr="00CA10B4">
        <w:t xml:space="preserve"> Krsti</w:t>
      </w:r>
      <w:r w:rsidR="00B164C3" w:rsidRPr="00CA10B4">
        <w:t>ć</w:t>
      </w:r>
      <w:r w:rsidRPr="00CA10B4">
        <w:t>. Leaving aside the criminal responsibility of the</w:t>
      </w:r>
      <w:r w:rsidR="004677B7" w:rsidRPr="00CA10B4">
        <w:t xml:space="preserve"> </w:t>
      </w:r>
      <w:r w:rsidRPr="00CA10B4">
        <w:t>three Accused, the Chamber concludes that the elements of the offence of cruel treatment (Count 6)</w:t>
      </w:r>
      <w:r w:rsidR="004677B7" w:rsidRPr="00CA10B4">
        <w:t xml:space="preserve"> </w:t>
      </w:r>
      <w:r w:rsidRPr="00CA10B4">
        <w:t xml:space="preserve">have been established in relation to </w:t>
      </w:r>
      <w:r w:rsidR="00B164C3" w:rsidRPr="00CA10B4">
        <w:t>Živorad</w:t>
      </w:r>
      <w:r w:rsidRPr="00CA10B4">
        <w:t xml:space="preserve"> Krsti</w:t>
      </w:r>
      <w:r w:rsidR="00B164C3" w:rsidRPr="00CA10B4">
        <w:t>ć</w:t>
      </w:r>
      <w:r w:rsidRPr="00CA10B4">
        <w:t>. The Chamber finds that the Prosecution has not</w:t>
      </w:r>
      <w:r w:rsidR="004677B7" w:rsidRPr="00CA10B4">
        <w:t xml:space="preserve"> </w:t>
      </w:r>
      <w:r w:rsidRPr="00CA10B4">
        <w:t xml:space="preserve">established the elements of the offence of murder (Count 8) in relation to </w:t>
      </w:r>
      <w:r w:rsidR="00B164C3" w:rsidRPr="00CA10B4">
        <w:t>Živorad</w:t>
      </w:r>
      <w:r w:rsidRPr="00CA10B4">
        <w:t xml:space="preserve"> Krsti</w:t>
      </w:r>
      <w:r w:rsidR="00B164C3" w:rsidRPr="00CA10B4">
        <w:t>ć</w:t>
      </w:r>
      <w:r w:rsidRPr="00CA10B4">
        <w:t>.</w:t>
      </w:r>
    </w:p>
    <w:p w:rsidR="007D6162" w:rsidRPr="00CA10B4" w:rsidRDefault="007D6162" w:rsidP="003D4233">
      <w:pPr>
        <w:numPr>
          <w:ilvl w:val="0"/>
          <w:numId w:val="2"/>
        </w:numPr>
        <w:tabs>
          <w:tab w:val="clear" w:pos="360"/>
          <w:tab w:val="num" w:pos="450"/>
        </w:tabs>
        <w:ind w:left="450" w:hanging="450"/>
        <w:jc w:val="both"/>
        <w:rPr>
          <w:lang w:val="en-GB"/>
        </w:rPr>
      </w:pPr>
      <w:bookmarkStart w:id="46" w:name="_Ref391911146"/>
      <w:r w:rsidRPr="00CA10B4">
        <w:rPr>
          <w:lang w:val="en-GB"/>
        </w:rPr>
        <w:t xml:space="preserve">Two of the three accused, Mr Fatmir Limaj and Mr Isak Musliu, were found not guilty on all counts of the indictment. The third accused, Mr Haradin Bala, was found guilty in torture, cruel treatment and murder, but not in relation to </w:t>
      </w:r>
      <w:r w:rsidRPr="00CA10B4">
        <w:rPr>
          <w:bCs/>
        </w:rPr>
        <w:t xml:space="preserve">Mr Slobodan Mitrović, Mr Milovan Krstić, </w:t>
      </w:r>
      <w:proofErr w:type="gramStart"/>
      <w:r w:rsidRPr="00CA10B4">
        <w:rPr>
          <w:bCs/>
        </w:rPr>
        <w:t>Mr</w:t>
      </w:r>
      <w:proofErr w:type="gramEnd"/>
      <w:r w:rsidRPr="00CA10B4">
        <w:rPr>
          <w:bCs/>
        </w:rPr>
        <w:t xml:space="preserve"> Miodrag Krsti</w:t>
      </w:r>
      <w:r w:rsidRPr="00CA10B4">
        <w:rPr>
          <w:bCs/>
          <w:lang w:val="sr-Latn-CS"/>
        </w:rPr>
        <w:t xml:space="preserve">ć, </w:t>
      </w:r>
      <w:r w:rsidRPr="00CA10B4">
        <w:rPr>
          <w:bCs/>
        </w:rPr>
        <w:t>Mr Živorad Krstić and Mr Miroslav Šuljinić</w:t>
      </w:r>
      <w:r w:rsidRPr="00CA10B4">
        <w:rPr>
          <w:lang w:val="en-GB"/>
        </w:rPr>
        <w:t>.</w:t>
      </w:r>
    </w:p>
    <w:p w:rsidR="007D6162" w:rsidRPr="00CA10B4" w:rsidRDefault="007D6162" w:rsidP="007D6162">
      <w:pPr>
        <w:ind w:left="450"/>
        <w:jc w:val="both"/>
        <w:rPr>
          <w:lang w:val="en-GB"/>
        </w:rPr>
      </w:pPr>
    </w:p>
    <w:p w:rsidR="00B93661" w:rsidRPr="00CA10B4" w:rsidRDefault="00B93661" w:rsidP="003D4233">
      <w:pPr>
        <w:numPr>
          <w:ilvl w:val="0"/>
          <w:numId w:val="2"/>
        </w:numPr>
        <w:tabs>
          <w:tab w:val="clear" w:pos="360"/>
          <w:tab w:val="num" w:pos="450"/>
        </w:tabs>
        <w:ind w:left="450" w:hanging="450"/>
        <w:jc w:val="both"/>
        <w:rPr>
          <w:lang w:val="en-GB"/>
        </w:rPr>
      </w:pPr>
      <w:bookmarkStart w:id="47" w:name="_Ref398292827"/>
      <w:r w:rsidRPr="00CA10B4">
        <w:t xml:space="preserve">These findings and conclusion of the Trial Chamber were upheld by </w:t>
      </w:r>
      <w:r w:rsidR="003032C7">
        <w:t>the</w:t>
      </w:r>
      <w:r w:rsidRPr="00CA10B4">
        <w:t xml:space="preserve"> Appeals Chamber on 27 September 2007 (IT-03-66-A).</w:t>
      </w:r>
      <w:bookmarkEnd w:id="46"/>
      <w:bookmarkEnd w:id="47"/>
    </w:p>
    <w:p w:rsidR="00273AD3" w:rsidRPr="00CA10B4" w:rsidRDefault="00273AD3" w:rsidP="00F12F42">
      <w:pPr>
        <w:jc w:val="both"/>
      </w:pPr>
    </w:p>
    <w:p w:rsidR="00CA6855" w:rsidRPr="00CA10B4" w:rsidRDefault="00CA6855" w:rsidP="00F12F42">
      <w:pPr>
        <w:jc w:val="both"/>
        <w:rPr>
          <w:b/>
          <w:lang w:val="en-GB"/>
        </w:rPr>
      </w:pPr>
    </w:p>
    <w:p w:rsidR="00F12F42" w:rsidRPr="00CA10B4" w:rsidRDefault="00F12F42" w:rsidP="003D4233">
      <w:pPr>
        <w:pStyle w:val="ListParagraph"/>
        <w:numPr>
          <w:ilvl w:val="0"/>
          <w:numId w:val="1"/>
        </w:numPr>
        <w:tabs>
          <w:tab w:val="left" w:pos="357"/>
        </w:tabs>
        <w:autoSpaceDE w:val="0"/>
        <w:jc w:val="both"/>
        <w:rPr>
          <w:b/>
          <w:bCs/>
          <w:lang w:val="en-GB"/>
        </w:rPr>
      </w:pPr>
      <w:r w:rsidRPr="00CA10B4">
        <w:rPr>
          <w:b/>
          <w:bCs/>
          <w:lang w:val="en-GB"/>
        </w:rPr>
        <w:t>THE COMPLAINT</w:t>
      </w:r>
      <w:r w:rsidR="0051097E" w:rsidRPr="00CA10B4">
        <w:rPr>
          <w:b/>
          <w:bCs/>
          <w:lang w:val="en-GB"/>
        </w:rPr>
        <w:t>S</w:t>
      </w:r>
    </w:p>
    <w:p w:rsidR="00F12F42" w:rsidRPr="00CA10B4" w:rsidRDefault="00F12F42" w:rsidP="00F12F42">
      <w:pPr>
        <w:pStyle w:val="ListParagraph"/>
        <w:tabs>
          <w:tab w:val="left" w:pos="357"/>
        </w:tabs>
        <w:autoSpaceDE w:val="0"/>
        <w:ind w:left="1080"/>
        <w:jc w:val="both"/>
        <w:rPr>
          <w:b/>
          <w:bCs/>
          <w:lang w:val="en-GB"/>
        </w:rPr>
      </w:pPr>
    </w:p>
    <w:p w:rsidR="00F12F42" w:rsidRPr="001108A1" w:rsidRDefault="00F12F42" w:rsidP="003D4233">
      <w:pPr>
        <w:numPr>
          <w:ilvl w:val="0"/>
          <w:numId w:val="2"/>
        </w:numPr>
        <w:tabs>
          <w:tab w:val="clear" w:pos="360"/>
          <w:tab w:val="num" w:pos="450"/>
        </w:tabs>
        <w:ind w:left="450" w:hanging="450"/>
        <w:jc w:val="both"/>
        <w:rPr>
          <w:b/>
          <w:bCs/>
          <w:lang w:val="en-GB"/>
        </w:rPr>
      </w:pPr>
      <w:r w:rsidRPr="00CA10B4">
        <w:rPr>
          <w:lang w:val="en-GB"/>
        </w:rPr>
        <w:t>The complainant</w:t>
      </w:r>
      <w:r w:rsidR="0051097E" w:rsidRPr="00CA10B4">
        <w:rPr>
          <w:lang w:val="en-GB"/>
        </w:rPr>
        <w:t>s</w:t>
      </w:r>
      <w:r w:rsidR="007A6FCD" w:rsidRPr="00CA10B4">
        <w:rPr>
          <w:lang w:val="en-GB"/>
        </w:rPr>
        <w:t xml:space="preserve"> complain</w:t>
      </w:r>
      <w:r w:rsidRPr="00CA10B4">
        <w:rPr>
          <w:lang w:val="en-GB"/>
        </w:rPr>
        <w:t xml:space="preserve"> about UNMIK’s alleged failure to properly investigate the </w:t>
      </w:r>
      <w:r w:rsidR="000D3554" w:rsidRPr="00CA10B4">
        <w:rPr>
          <w:lang w:val="en-GB"/>
        </w:rPr>
        <w:t xml:space="preserve">abduction and </w:t>
      </w:r>
      <w:r w:rsidR="00EE5C61" w:rsidRPr="00CA10B4">
        <w:rPr>
          <w:bCs/>
          <w:lang w:val="en-GB"/>
        </w:rPr>
        <w:t>disappearance</w:t>
      </w:r>
      <w:r w:rsidR="00CD0588" w:rsidRPr="00CA10B4">
        <w:rPr>
          <w:bCs/>
          <w:lang w:val="en-GB"/>
        </w:rPr>
        <w:t xml:space="preserve"> </w:t>
      </w:r>
      <w:r w:rsidR="005A570A" w:rsidRPr="00CA10B4">
        <w:rPr>
          <w:bCs/>
          <w:lang w:val="en-GB"/>
        </w:rPr>
        <w:t xml:space="preserve">of </w:t>
      </w:r>
      <w:r w:rsidR="000D3554" w:rsidRPr="00CA10B4">
        <w:rPr>
          <w:bCs/>
        </w:rPr>
        <w:t xml:space="preserve">Mr Slobodan Mitrović, Mr Milovan Krstić, </w:t>
      </w:r>
      <w:proofErr w:type="gramStart"/>
      <w:r w:rsidR="000D3554" w:rsidRPr="00CA10B4">
        <w:rPr>
          <w:bCs/>
        </w:rPr>
        <w:t>Mr</w:t>
      </w:r>
      <w:proofErr w:type="gramEnd"/>
      <w:r w:rsidR="000D3554" w:rsidRPr="00CA10B4">
        <w:rPr>
          <w:bCs/>
        </w:rPr>
        <w:t xml:space="preserve"> Miodrag Krsti</w:t>
      </w:r>
      <w:r w:rsidR="000D3554" w:rsidRPr="00CA10B4">
        <w:rPr>
          <w:bCs/>
          <w:lang w:val="sr-Latn-CS"/>
        </w:rPr>
        <w:t xml:space="preserve">ć, </w:t>
      </w:r>
      <w:r w:rsidR="000D3554" w:rsidRPr="00CA10B4">
        <w:rPr>
          <w:bCs/>
        </w:rPr>
        <w:t xml:space="preserve">Mr </w:t>
      </w:r>
      <w:r w:rsidR="0047233F" w:rsidRPr="00CA10B4">
        <w:rPr>
          <w:bCs/>
        </w:rPr>
        <w:t>Ž</w:t>
      </w:r>
      <w:r w:rsidR="000D3554" w:rsidRPr="00CA10B4">
        <w:rPr>
          <w:bCs/>
        </w:rPr>
        <w:t>ivorad Krstić and Mr Miroslav Šuljinić</w:t>
      </w:r>
      <w:r w:rsidRPr="00CA10B4">
        <w:rPr>
          <w:lang w:val="en-GB"/>
        </w:rPr>
        <w:t xml:space="preserve">. In this regard the Panel deems that </w:t>
      </w:r>
      <w:r w:rsidR="005C635E" w:rsidRPr="00CA10B4">
        <w:rPr>
          <w:lang w:val="en-GB"/>
        </w:rPr>
        <w:t>the complainant</w:t>
      </w:r>
      <w:r w:rsidR="0051097E" w:rsidRPr="00CA10B4">
        <w:rPr>
          <w:lang w:val="en-GB"/>
        </w:rPr>
        <w:t>s</w:t>
      </w:r>
      <w:r w:rsidRPr="00CA10B4">
        <w:rPr>
          <w:lang w:val="en-GB"/>
        </w:rPr>
        <w:t xml:space="preserve"> invoke a violation of the procedural limb of Article 2 of the European</w:t>
      </w:r>
      <w:r w:rsidRPr="001108A1">
        <w:rPr>
          <w:lang w:val="en-GB"/>
        </w:rPr>
        <w:t xml:space="preserve"> Convention on Human Rights (ECHR).</w:t>
      </w:r>
    </w:p>
    <w:p w:rsidR="007A6FCD" w:rsidRPr="00D22581" w:rsidRDefault="007A6FCD" w:rsidP="007A6FCD">
      <w:pPr>
        <w:pStyle w:val="ListParagraph"/>
        <w:autoSpaceDE w:val="0"/>
        <w:ind w:left="360"/>
        <w:jc w:val="both"/>
        <w:rPr>
          <w:b/>
          <w:bCs/>
          <w:lang w:val="en-GB"/>
        </w:rPr>
      </w:pPr>
    </w:p>
    <w:p w:rsidR="007A6FCD" w:rsidRPr="00E51FF0" w:rsidRDefault="005C635E" w:rsidP="003D4233">
      <w:pPr>
        <w:numPr>
          <w:ilvl w:val="0"/>
          <w:numId w:val="2"/>
        </w:numPr>
        <w:tabs>
          <w:tab w:val="clear" w:pos="360"/>
          <w:tab w:val="num" w:pos="450"/>
        </w:tabs>
        <w:ind w:left="450" w:hanging="450"/>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sidRPr="00E51FF0">
        <w:rPr>
          <w:lang w:val="en-GB"/>
        </w:rPr>
        <w:t>them</w:t>
      </w:r>
      <w:r w:rsidR="007A6FCD" w:rsidRPr="00E51FF0">
        <w:rPr>
          <w:lang w:val="en-GB"/>
        </w:rPr>
        <w:t xml:space="preserve"> by this </w:t>
      </w:r>
      <w:r w:rsidR="00D05A60" w:rsidRPr="00E51FF0">
        <w:rPr>
          <w:lang w:val="en-GB"/>
        </w:rPr>
        <w:t>situation. In this regard, they</w:t>
      </w:r>
      <w:r w:rsidR="007A6FCD" w:rsidRPr="00E51FF0">
        <w:rPr>
          <w:lang w:val="en-GB"/>
        </w:rPr>
        <w:t xml:space="preserve"> rel</w:t>
      </w:r>
      <w:r w:rsidR="003C3DD1" w:rsidRPr="00E51FF0">
        <w:rPr>
          <w:lang w:val="en-GB"/>
        </w:rPr>
        <w:t>y</w:t>
      </w:r>
      <w:r w:rsidR="000D3554" w:rsidRPr="00E51FF0">
        <w:rPr>
          <w:lang w:val="en-GB"/>
        </w:rPr>
        <w:t xml:space="preserve"> on Article 3 of the ECHR.</w:t>
      </w:r>
    </w:p>
    <w:p w:rsidR="004F06E7" w:rsidRPr="00E51FF0" w:rsidRDefault="004F06E7" w:rsidP="004F06E7">
      <w:pPr>
        <w:pStyle w:val="ListParagraph"/>
        <w:rPr>
          <w:lang w:val="en-GB"/>
        </w:rPr>
      </w:pPr>
    </w:p>
    <w:p w:rsidR="007A6FCD" w:rsidRPr="00E51FF0" w:rsidRDefault="004F06E7" w:rsidP="003D4233">
      <w:pPr>
        <w:pStyle w:val="ListParagraph"/>
        <w:numPr>
          <w:ilvl w:val="0"/>
          <w:numId w:val="2"/>
        </w:numPr>
        <w:tabs>
          <w:tab w:val="clear" w:pos="360"/>
        </w:tabs>
        <w:autoSpaceDE w:val="0"/>
        <w:ind w:left="450" w:hanging="450"/>
        <w:jc w:val="both"/>
        <w:rPr>
          <w:lang w:val="en-GB"/>
        </w:rPr>
      </w:pPr>
      <w:r w:rsidRPr="00E51FF0">
        <w:rPr>
          <w:color w:val="000000" w:themeColor="text1"/>
          <w:lang w:val="en-GB"/>
        </w:rPr>
        <w:t xml:space="preserve">With regard to the case of the alleged fraudulent sale of Mr Živorad Krstić’s immovable property, the Panel has to note that </w:t>
      </w:r>
      <w:r w:rsidRPr="00E51FF0">
        <w:rPr>
          <w:color w:val="000000" w:themeColor="text1"/>
        </w:rPr>
        <w:t xml:space="preserve">Mrs </w:t>
      </w:r>
      <w:r w:rsidRPr="00E51FF0">
        <w:rPr>
          <w:bCs/>
          <w:color w:val="000000" w:themeColor="text1"/>
          <w:lang w:val="en-GB"/>
        </w:rPr>
        <w:t>Snežana Simonović</w:t>
      </w:r>
      <w:r w:rsidRPr="00E51FF0">
        <w:rPr>
          <w:color w:val="000000" w:themeColor="text1"/>
        </w:rPr>
        <w:t xml:space="preserve"> did not expressly raise the issue of adequacy of investigation by UNMIK authorities </w:t>
      </w:r>
      <w:r w:rsidRPr="00E51FF0">
        <w:t>into this. The Panel therefore does not regard it as a separate complaint.</w:t>
      </w:r>
      <w:r w:rsidRPr="00E51FF0">
        <w:rPr>
          <w:lang w:val="en-GB"/>
        </w:rPr>
        <w:t xml:space="preserve"> </w:t>
      </w:r>
    </w:p>
    <w:p w:rsidR="009813B4" w:rsidRDefault="009813B4" w:rsidP="007A6FCD">
      <w:pPr>
        <w:pStyle w:val="ListParagraph"/>
        <w:rPr>
          <w:lang w:val="en-GB"/>
        </w:rPr>
      </w:pPr>
    </w:p>
    <w:p w:rsidR="004F06E7" w:rsidRPr="00D22581" w:rsidRDefault="004F06E7" w:rsidP="007A6FCD">
      <w:pPr>
        <w:pStyle w:val="ListParagraph"/>
        <w:rPr>
          <w:lang w:val="en-GB"/>
        </w:rPr>
      </w:pPr>
    </w:p>
    <w:p w:rsidR="00D12979" w:rsidRPr="00D22581" w:rsidRDefault="00D12979" w:rsidP="003D4233">
      <w:pPr>
        <w:numPr>
          <w:ilvl w:val="0"/>
          <w:numId w:val="1"/>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3D4233">
      <w:pPr>
        <w:pStyle w:val="Default"/>
        <w:numPr>
          <w:ilvl w:val="0"/>
          <w:numId w:val="4"/>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3D4233">
      <w:pPr>
        <w:pStyle w:val="ListParagraph"/>
        <w:numPr>
          <w:ilvl w:val="1"/>
          <w:numId w:val="1"/>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3D4233">
      <w:pPr>
        <w:numPr>
          <w:ilvl w:val="0"/>
          <w:numId w:val="2"/>
        </w:numPr>
        <w:tabs>
          <w:tab w:val="clear" w:pos="360"/>
          <w:tab w:val="num" w:pos="450"/>
        </w:tabs>
        <w:ind w:left="450" w:hanging="450"/>
        <w:jc w:val="both"/>
        <w:rPr>
          <w:bCs/>
          <w:lang w:val="en-GB"/>
        </w:rPr>
      </w:pPr>
      <w:bookmarkStart w:id="48" w:name="_Ref401303498"/>
      <w:r w:rsidRPr="00D720A2">
        <w:rPr>
          <w:lang w:val="en-GB"/>
        </w:rPr>
        <w:t xml:space="preserve">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w:t>
      </w:r>
      <w:r w:rsidRPr="00D720A2">
        <w:rPr>
          <w:lang w:val="en-GB"/>
        </w:rPr>
        <w:lastRenderedPageBreak/>
        <w:t>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48"/>
    </w:p>
    <w:p w:rsidR="00FB1D95" w:rsidRPr="00D22581" w:rsidRDefault="00FB1D95" w:rsidP="00FB1D95">
      <w:pPr>
        <w:pStyle w:val="ListParagraph"/>
        <w:autoSpaceDE w:val="0"/>
        <w:ind w:left="360"/>
        <w:jc w:val="bot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bCs/>
          <w:lang w:val="en-GB"/>
        </w:rPr>
        <w:t xml:space="preserve">Before </w:t>
      </w:r>
      <w:r w:rsidRPr="00D9184B">
        <w:rPr>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49" w:name="_Ref317418022"/>
    </w:p>
    <w:p w:rsidR="00FB1D95" w:rsidRPr="00D22581" w:rsidRDefault="00FB1D95" w:rsidP="00FB1D95">
      <w:pPr>
        <w:pStyle w:val="ListParagraph"/>
        <w:rPr>
          <w:color w:val="000000"/>
          <w:lang w:val="en-GB" w:eastAsia="nl-BE"/>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w:t>
      </w:r>
      <w:r w:rsidRPr="00D9184B">
        <w:rPr>
          <w:rFonts w:cs="CAGLHH+TimesNewRoman"/>
          <w:color w:val="000000"/>
          <w:lang w:val="en-GB"/>
        </w:rPr>
        <w:t>under</w:t>
      </w:r>
      <w:r w:rsidRPr="00D22581">
        <w:rPr>
          <w:color w:val="000000"/>
          <w:lang w:val="en-GB" w:eastAsia="nl-BE"/>
        </w:rPr>
        <w:t xml:space="preserve">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50" w:name="_Ref317493050"/>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1" w:name="_Ref401157489"/>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50"/>
      <w:bookmarkEnd w:id="51"/>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52" w:name="_Ref346123885"/>
      <w:bookmarkEnd w:id="49"/>
    </w:p>
    <w:p w:rsidR="00FB1D95" w:rsidRPr="00D22581" w:rsidRDefault="00FB1D95" w:rsidP="00FB1D95">
      <w:pPr>
        <w:pStyle w:val="ListParagrap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3" w:name="_Ref401157497"/>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w:t>
      </w:r>
      <w:r w:rsidRPr="00D22581">
        <w:rPr>
          <w:rFonts w:cs="CAGLHH+TimesNewRoman"/>
          <w:color w:val="000000"/>
          <w:lang w:val="en-GB"/>
        </w:rPr>
        <w:lastRenderedPageBreak/>
        <w:t xml:space="preserve">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52"/>
      <w:bookmarkEnd w:id="53"/>
    </w:p>
    <w:p w:rsidR="007A6FCD" w:rsidRPr="00D22581" w:rsidRDefault="007A6FCD" w:rsidP="00C0731E">
      <w:pPr>
        <w:jc w:val="both"/>
        <w:rPr>
          <w:lang w:val="en-GB"/>
        </w:rPr>
      </w:pPr>
    </w:p>
    <w:p w:rsidR="007A6FCD" w:rsidRPr="00D22581" w:rsidRDefault="00F80146" w:rsidP="003D4233">
      <w:pPr>
        <w:pStyle w:val="ListParagraph"/>
        <w:numPr>
          <w:ilvl w:val="1"/>
          <w:numId w:val="1"/>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3D4233">
      <w:pPr>
        <w:numPr>
          <w:ilvl w:val="0"/>
          <w:numId w:val="2"/>
        </w:numPr>
        <w:tabs>
          <w:tab w:val="clear" w:pos="360"/>
          <w:tab w:val="num" w:pos="450"/>
        </w:tabs>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w:t>
      </w:r>
      <w:r w:rsidR="006F3FDC" w:rsidRPr="00D9184B">
        <w:rPr>
          <w:rFonts w:cs="CAGLHH+TimesNewRoman"/>
          <w:color w:val="000000"/>
          <w:lang w:val="en-GB"/>
        </w:rPr>
        <w:t>criminal</w:t>
      </w:r>
      <w:r w:rsidR="006F3FDC" w:rsidRPr="00CF7B9A">
        <w:rPr>
          <w:lang w:val="en-GB"/>
        </w:rPr>
        <w:t xml:space="preserve"> </w:t>
      </w:r>
      <w:r w:rsidR="006F3FDC" w:rsidRPr="00D9184B">
        <w:rPr>
          <w:rFonts w:cs="CAGLHH+TimesNewRoman"/>
          <w:color w:val="000000"/>
          <w:lang w:val="en-GB"/>
        </w:rPr>
        <w:t>investigation</w:t>
      </w:r>
      <w:r w:rsidR="006F3FDC" w:rsidRPr="00CF7B9A">
        <w:rPr>
          <w:lang w:val="en-GB"/>
        </w:rPr>
        <w:t xml:space="preserve"> into</w:t>
      </w:r>
      <w:r w:rsidR="00CE12C1" w:rsidRPr="00CF7B9A">
        <w:rPr>
          <w:lang w:val="en-GB"/>
        </w:rPr>
        <w:t xml:space="preserve"> </w:t>
      </w:r>
      <w:r w:rsidR="00A25A6E" w:rsidRPr="00CF7B9A">
        <w:rPr>
          <w:lang w:val="en-GB"/>
        </w:rPr>
        <w:t xml:space="preserve">the </w:t>
      </w:r>
      <w:r w:rsidR="00084D5A">
        <w:rPr>
          <w:lang w:val="en-GB"/>
        </w:rPr>
        <w:t xml:space="preserve">abduction and </w:t>
      </w:r>
      <w:r w:rsidR="00084D5A" w:rsidRPr="001108A1">
        <w:rPr>
          <w:bCs/>
          <w:lang w:val="en-GB"/>
        </w:rPr>
        <w:t xml:space="preserve">disappearance of </w:t>
      </w:r>
      <w:r w:rsidR="00084D5A" w:rsidRPr="000D3554">
        <w:rPr>
          <w:bCs/>
        </w:rPr>
        <w:t xml:space="preserve">Mr Slobodan Mitrović, Mr Milovan Krstić, </w:t>
      </w:r>
      <w:proofErr w:type="gramStart"/>
      <w:r w:rsidR="00084D5A" w:rsidRPr="000D3554">
        <w:rPr>
          <w:bCs/>
        </w:rPr>
        <w:t>Mr</w:t>
      </w:r>
      <w:proofErr w:type="gramEnd"/>
      <w:r w:rsidR="00084D5A" w:rsidRPr="000D3554">
        <w:rPr>
          <w:bCs/>
        </w:rPr>
        <w:t xml:space="preserve"> Miodrag Krsti</w:t>
      </w:r>
      <w:r w:rsidR="00084D5A" w:rsidRPr="000D3554">
        <w:rPr>
          <w:bCs/>
          <w:lang w:val="sr-Latn-CS"/>
        </w:rPr>
        <w:t xml:space="preserve">ć, </w:t>
      </w:r>
      <w:r w:rsidR="00084D5A" w:rsidRPr="000D3554">
        <w:rPr>
          <w:bCs/>
        </w:rPr>
        <w:t>Mr Živorad Krstić and Mr Miroslav Šuljinić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Default="009813B4" w:rsidP="009813B4">
      <w:pPr>
        <w:suppressAutoHyphens/>
        <w:autoSpaceDE w:val="0"/>
        <w:ind w:left="360"/>
        <w:jc w:val="both"/>
        <w:rPr>
          <w:lang w:val="en-GB"/>
        </w:rPr>
      </w:pPr>
    </w:p>
    <w:p w:rsidR="00084D5A" w:rsidRPr="004F65AD" w:rsidRDefault="004F65AD" w:rsidP="003D4233">
      <w:pPr>
        <w:numPr>
          <w:ilvl w:val="0"/>
          <w:numId w:val="2"/>
        </w:numPr>
        <w:tabs>
          <w:tab w:val="clear" w:pos="360"/>
          <w:tab w:val="num" w:pos="450"/>
        </w:tabs>
        <w:ind w:left="450" w:hanging="450"/>
        <w:jc w:val="both"/>
        <w:rPr>
          <w:lang w:val="en-GB"/>
        </w:rPr>
      </w:pPr>
      <w:r w:rsidRPr="004F65AD">
        <w:rPr>
          <w:lang w:val="en-GB"/>
        </w:rPr>
        <w:t xml:space="preserve">The SRSG presented UNMIK’s comments on the merits of the complaints on three </w:t>
      </w:r>
      <w:r w:rsidRPr="00801CFD">
        <w:rPr>
          <w:lang w:val="en-GB"/>
        </w:rPr>
        <w:t>occasions: o</w:t>
      </w:r>
      <w:r w:rsidR="00084D5A" w:rsidRPr="00801CFD">
        <w:rPr>
          <w:lang w:val="en-GB"/>
        </w:rPr>
        <w:t xml:space="preserve">n 7 March 2014 </w:t>
      </w:r>
      <w:r w:rsidRPr="00801CFD">
        <w:rPr>
          <w:lang w:val="en-GB"/>
        </w:rPr>
        <w:t>(in</w:t>
      </w:r>
      <w:r w:rsidRPr="004F65AD">
        <w:rPr>
          <w:lang w:val="en-GB"/>
        </w:rPr>
        <w:t xml:space="preserve"> </w:t>
      </w:r>
      <w:r w:rsidR="00084D5A" w:rsidRPr="004F65AD">
        <w:rPr>
          <w:lang w:val="en-GB"/>
        </w:rPr>
        <w:t>relation to the merits of the complaint of Mr Jeremija Šuljinić</w:t>
      </w:r>
      <w:r w:rsidRPr="004F65AD">
        <w:rPr>
          <w:lang w:val="en-GB"/>
        </w:rPr>
        <w:t>, case no 276/09</w:t>
      </w:r>
      <w:r w:rsidRPr="00801CFD">
        <w:rPr>
          <w:lang w:val="en-GB"/>
        </w:rPr>
        <w:t>), o</w:t>
      </w:r>
      <w:r w:rsidR="00084D5A" w:rsidRPr="00801CFD">
        <w:rPr>
          <w:lang w:val="en-GB"/>
        </w:rPr>
        <w:t>n 9 April 2014</w:t>
      </w:r>
      <w:r w:rsidRPr="004F65AD">
        <w:rPr>
          <w:lang w:val="en-GB"/>
        </w:rPr>
        <w:t xml:space="preserve"> (</w:t>
      </w:r>
      <w:r w:rsidR="00084D5A" w:rsidRPr="004F65AD">
        <w:rPr>
          <w:lang w:val="en-GB"/>
        </w:rPr>
        <w:t xml:space="preserve">in relation to the </w:t>
      </w:r>
      <w:r w:rsidRPr="004F65AD">
        <w:rPr>
          <w:lang w:val="en-GB"/>
        </w:rPr>
        <w:t>complaints of Mrs Liljana Mitrović, Mrs Danijela Krstić, Mrs Slobodanka Simonović and Mrs Snežana Simonović, cases no</w:t>
      </w:r>
      <w:r w:rsidR="00084D5A" w:rsidRPr="004F65AD">
        <w:rPr>
          <w:lang w:val="en-GB"/>
        </w:rPr>
        <w:t>s 144/09, 158/09, 209/09 and 210/09</w:t>
      </w:r>
      <w:r w:rsidRPr="004F65AD">
        <w:rPr>
          <w:lang w:val="en-GB"/>
        </w:rPr>
        <w:t xml:space="preserve"> no. 258/09</w:t>
      </w:r>
      <w:r w:rsidR="00084D5A" w:rsidRPr="004F65AD">
        <w:rPr>
          <w:lang w:val="en-GB"/>
        </w:rPr>
        <w:t>)</w:t>
      </w:r>
      <w:r w:rsidRPr="004F65AD">
        <w:rPr>
          <w:lang w:val="en-GB"/>
        </w:rPr>
        <w:t xml:space="preserve"> and on </w:t>
      </w:r>
      <w:r w:rsidR="00F02E0E" w:rsidRPr="004F65AD">
        <w:rPr>
          <w:lang w:val="en-GB"/>
        </w:rPr>
        <w:t>16</w:t>
      </w:r>
      <w:r w:rsidR="00084D5A" w:rsidRPr="004F65AD">
        <w:rPr>
          <w:lang w:val="en-GB"/>
        </w:rPr>
        <w:t xml:space="preserve"> July 2014</w:t>
      </w:r>
      <w:r w:rsidR="00B55961">
        <w:rPr>
          <w:lang w:val="en-GB"/>
        </w:rPr>
        <w:t xml:space="preserve">, with respect </w:t>
      </w:r>
      <w:r w:rsidR="00084D5A" w:rsidRPr="004F65AD">
        <w:rPr>
          <w:lang w:val="en-GB"/>
        </w:rPr>
        <w:t>to the merits of the six join</w:t>
      </w:r>
      <w:r w:rsidR="00801CFD">
        <w:rPr>
          <w:lang w:val="en-GB"/>
        </w:rPr>
        <w:t>ed</w:t>
      </w:r>
      <w:r w:rsidR="00084D5A" w:rsidRPr="004F65AD">
        <w:rPr>
          <w:lang w:val="en-GB"/>
        </w:rPr>
        <w:t xml:space="preserve"> complaints</w:t>
      </w:r>
      <w:r>
        <w:rPr>
          <w:lang w:val="en-GB"/>
        </w:rPr>
        <w:t xml:space="preserve"> </w:t>
      </w:r>
      <w:r w:rsidRPr="009C2A5A">
        <w:rPr>
          <w:lang w:val="en-GB"/>
        </w:rPr>
        <w:t xml:space="preserve">(see §§ </w:t>
      </w:r>
      <w:r w:rsidR="009C2A5A" w:rsidRPr="009C2A5A">
        <w:fldChar w:fldCharType="begin"/>
      </w:r>
      <w:r w:rsidR="009C2A5A" w:rsidRPr="009C2A5A">
        <w:instrText xml:space="preserve"> REF _Ref398291051 \r \h  \* MERGEFORMAT </w:instrText>
      </w:r>
      <w:r w:rsidR="009C2A5A" w:rsidRPr="009C2A5A">
        <w:fldChar w:fldCharType="separate"/>
      </w:r>
      <w:r w:rsidR="009C2A5A" w:rsidRPr="009C2A5A">
        <w:rPr>
          <w:lang w:val="en-GB"/>
        </w:rPr>
        <w:t>16</w:t>
      </w:r>
      <w:r w:rsidR="009C2A5A" w:rsidRPr="009C2A5A">
        <w:fldChar w:fldCharType="end"/>
      </w:r>
      <w:r w:rsidRPr="009C2A5A">
        <w:rPr>
          <w:lang w:val="en-GB"/>
        </w:rPr>
        <w:t xml:space="preserve">, </w:t>
      </w:r>
      <w:r w:rsidR="009C2A5A" w:rsidRPr="009C2A5A">
        <w:fldChar w:fldCharType="begin"/>
      </w:r>
      <w:r w:rsidR="009C2A5A" w:rsidRPr="009C2A5A">
        <w:instrText xml:space="preserve"> REF _Ref398291091 \r \h  \* MERGEFORMAT </w:instrText>
      </w:r>
      <w:r w:rsidR="009C2A5A" w:rsidRPr="009C2A5A">
        <w:fldChar w:fldCharType="separate"/>
      </w:r>
      <w:r w:rsidR="009C2A5A" w:rsidRPr="009C2A5A">
        <w:rPr>
          <w:lang w:val="en-GB"/>
        </w:rPr>
        <w:t>19</w:t>
      </w:r>
      <w:r w:rsidR="009C2A5A" w:rsidRPr="009C2A5A">
        <w:fldChar w:fldCharType="end"/>
      </w:r>
      <w:r w:rsidRPr="009C2A5A">
        <w:rPr>
          <w:lang w:val="en-GB"/>
        </w:rPr>
        <w:t xml:space="preserve"> and </w:t>
      </w:r>
      <w:r w:rsidR="009C2A5A" w:rsidRPr="009C2A5A">
        <w:fldChar w:fldCharType="begin"/>
      </w:r>
      <w:r w:rsidR="009C2A5A" w:rsidRPr="009C2A5A">
        <w:instrText xml:space="preserve"> REF _Ref398291103 \r \h  \* MERGEFORMAT </w:instrText>
      </w:r>
      <w:r w:rsidR="009C2A5A" w:rsidRPr="009C2A5A">
        <w:fldChar w:fldCharType="separate"/>
      </w:r>
      <w:r w:rsidR="009C2A5A" w:rsidRPr="009C2A5A">
        <w:rPr>
          <w:lang w:val="en-GB"/>
        </w:rPr>
        <w:t>25</w:t>
      </w:r>
      <w:r w:rsidR="009C2A5A" w:rsidRPr="009C2A5A">
        <w:fldChar w:fldCharType="end"/>
      </w:r>
      <w:r w:rsidRPr="009C2A5A">
        <w:rPr>
          <w:lang w:val="en-GB"/>
        </w:rPr>
        <w:t xml:space="preserve"> above).</w:t>
      </w:r>
    </w:p>
    <w:p w:rsidR="00084D5A" w:rsidRPr="00CF7B9A" w:rsidRDefault="00084D5A" w:rsidP="009813B4">
      <w:pPr>
        <w:suppressAutoHyphens/>
        <w:autoSpaceDE w:val="0"/>
        <w:ind w:left="360"/>
        <w:jc w:val="both"/>
        <w:rPr>
          <w:lang w:val="en-GB"/>
        </w:rPr>
      </w:pPr>
    </w:p>
    <w:p w:rsidR="00D00805" w:rsidRPr="00D00805" w:rsidRDefault="009813B4" w:rsidP="003D4233">
      <w:pPr>
        <w:numPr>
          <w:ilvl w:val="0"/>
          <w:numId w:val="2"/>
        </w:numPr>
        <w:tabs>
          <w:tab w:val="clear" w:pos="360"/>
          <w:tab w:val="num" w:pos="450"/>
        </w:tabs>
        <w:ind w:left="450" w:hanging="450"/>
        <w:jc w:val="both"/>
        <w:rPr>
          <w:color w:val="000000" w:themeColor="text1"/>
        </w:rPr>
      </w:pPr>
      <w:r w:rsidRPr="00CA6855">
        <w:rPr>
          <w:bCs/>
          <w:color w:val="000000" w:themeColor="text1"/>
          <w:lang w:val="en-GB"/>
        </w:rPr>
        <w:t xml:space="preserve">The SRSG </w:t>
      </w:r>
      <w:r w:rsidR="004F65AD">
        <w:rPr>
          <w:color w:val="000000" w:themeColor="text1"/>
          <w:lang w:val="en-GB"/>
        </w:rPr>
        <w:t xml:space="preserve">generally notes </w:t>
      </w:r>
      <w:r w:rsidR="00C15EEE" w:rsidRPr="00CA6855">
        <w:rPr>
          <w:bCs/>
          <w:color w:val="000000" w:themeColor="text1"/>
          <w:lang w:val="en-GB"/>
        </w:rPr>
        <w:t xml:space="preserve">that in this case UNMIK has been able to obtain </w:t>
      </w:r>
      <w:r w:rsidR="00A4704B" w:rsidRPr="00CA6855">
        <w:rPr>
          <w:bCs/>
          <w:color w:val="000000" w:themeColor="text1"/>
          <w:lang w:val="en-GB"/>
        </w:rPr>
        <w:t xml:space="preserve">copies of relevant files </w:t>
      </w:r>
      <w:r w:rsidR="00343F68" w:rsidRPr="00CA6855">
        <w:rPr>
          <w:bCs/>
          <w:color w:val="000000" w:themeColor="text1"/>
          <w:lang w:val="en-GB"/>
        </w:rPr>
        <w:t>previously</w:t>
      </w:r>
      <w:r w:rsidR="001F240E" w:rsidRPr="00CA6855">
        <w:rPr>
          <w:bCs/>
          <w:color w:val="000000" w:themeColor="text1"/>
          <w:lang w:val="en-GB"/>
        </w:rPr>
        <w:t xml:space="preserve"> held by the OMPF and UNMIK Police</w:t>
      </w:r>
      <w:r w:rsidR="00A4704B" w:rsidRPr="00CA6855">
        <w:rPr>
          <w:bCs/>
          <w:color w:val="000000" w:themeColor="text1"/>
          <w:lang w:val="en-GB"/>
        </w:rPr>
        <w:t xml:space="preserve"> </w:t>
      </w:r>
      <w:r w:rsidR="00D00805">
        <w:rPr>
          <w:bCs/>
          <w:color w:val="000000" w:themeColor="text1"/>
          <w:lang w:val="en-GB"/>
        </w:rPr>
        <w:t>WCIU</w:t>
      </w:r>
      <w:r w:rsidR="001F240E" w:rsidRPr="00CA6855">
        <w:rPr>
          <w:bCs/>
          <w:color w:val="000000" w:themeColor="text1"/>
          <w:lang w:val="en-GB"/>
        </w:rPr>
        <w:t xml:space="preserve">. </w:t>
      </w:r>
      <w:r w:rsidR="00D00805">
        <w:rPr>
          <w:bCs/>
          <w:color w:val="000000" w:themeColor="text1"/>
          <w:lang w:val="en-GB"/>
        </w:rPr>
        <w:t xml:space="preserve">In addition, UNMIK’s comments on the </w:t>
      </w:r>
      <w:r w:rsidR="00C63425">
        <w:rPr>
          <w:bCs/>
          <w:color w:val="000000" w:themeColor="text1"/>
          <w:lang w:val="en-GB"/>
        </w:rPr>
        <w:t>c</w:t>
      </w:r>
      <w:r w:rsidR="00D00805">
        <w:rPr>
          <w:bCs/>
          <w:color w:val="000000" w:themeColor="text1"/>
          <w:lang w:val="en-GB"/>
        </w:rPr>
        <w:t xml:space="preserve">omplaints </w:t>
      </w:r>
      <w:r w:rsidR="00C63425">
        <w:rPr>
          <w:bCs/>
          <w:color w:val="000000" w:themeColor="text1"/>
          <w:lang w:val="en-GB"/>
        </w:rPr>
        <w:t>were “</w:t>
      </w:r>
      <w:r w:rsidR="00D00805">
        <w:rPr>
          <w:bCs/>
          <w:color w:val="000000" w:themeColor="text1"/>
          <w:lang w:val="en-GB"/>
        </w:rPr>
        <w:t>also based in part on the … documents of the ICTY publically available from the Tribunal’s website.”</w:t>
      </w:r>
    </w:p>
    <w:p w:rsidR="00D00805" w:rsidRDefault="00D00805" w:rsidP="00D00805">
      <w:pPr>
        <w:pStyle w:val="ListParagraph"/>
        <w:rPr>
          <w:color w:val="000000" w:themeColor="text1"/>
        </w:rPr>
      </w:pPr>
    </w:p>
    <w:p w:rsidR="00C97F41" w:rsidRPr="00D00805" w:rsidRDefault="00D00805" w:rsidP="003D4233">
      <w:pPr>
        <w:numPr>
          <w:ilvl w:val="0"/>
          <w:numId w:val="2"/>
        </w:numPr>
        <w:tabs>
          <w:tab w:val="clear" w:pos="360"/>
          <w:tab w:val="num" w:pos="450"/>
        </w:tabs>
        <w:suppressAutoHyphens/>
        <w:autoSpaceDE w:val="0"/>
        <w:ind w:left="450" w:hanging="450"/>
        <w:jc w:val="both"/>
        <w:rPr>
          <w:lang w:val="en-GB"/>
        </w:rPr>
      </w:pPr>
      <w:r w:rsidRPr="00D00805">
        <w:rPr>
          <w:color w:val="000000" w:themeColor="text1"/>
        </w:rPr>
        <w:t>T</w:t>
      </w:r>
      <w:r w:rsidR="00E6650B">
        <w:rPr>
          <w:color w:val="000000" w:themeColor="text1"/>
        </w:rPr>
        <w:t>h</w:t>
      </w:r>
      <w:r w:rsidRPr="00D00805">
        <w:rPr>
          <w:color w:val="000000" w:themeColor="text1"/>
        </w:rPr>
        <w:t>e SRSG also submits that,</w:t>
      </w:r>
      <w:r w:rsidR="00A4704B" w:rsidRPr="00D00805">
        <w:rPr>
          <w:color w:val="000000" w:themeColor="text1"/>
        </w:rPr>
        <w:t xml:space="preserve"> </w:t>
      </w:r>
      <w:r w:rsidRPr="00D00805">
        <w:rPr>
          <w:color w:val="000000" w:themeColor="text1"/>
        </w:rPr>
        <w:t>as UNMIK handed over all investigative files to EULEX, it “ceased to be the custodian of police records in Kosovo and could not, as a matter of principle, retain copies 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D00805" w:rsidRDefault="00D00805" w:rsidP="00D00805">
      <w:pPr>
        <w:pStyle w:val="ListParagraph"/>
        <w:rPr>
          <w:lang w:val="en-GB"/>
        </w:rPr>
      </w:pPr>
    </w:p>
    <w:p w:rsidR="00692807" w:rsidRPr="00CF7B9A" w:rsidRDefault="009D747B" w:rsidP="003D4233">
      <w:pPr>
        <w:numPr>
          <w:ilvl w:val="0"/>
          <w:numId w:val="2"/>
        </w:numPr>
        <w:tabs>
          <w:tab w:val="clear" w:pos="360"/>
          <w:tab w:val="num" w:pos="450"/>
        </w:tabs>
        <w:ind w:left="450" w:hanging="450"/>
        <w:jc w:val="both"/>
        <w:rPr>
          <w:lang w:val="en-GB"/>
        </w:rPr>
      </w:pPr>
      <w:r w:rsidRPr="00CF7B9A">
        <w:rPr>
          <w:lang w:val="en-GB"/>
        </w:rPr>
        <w:t xml:space="preserve">In his </w:t>
      </w:r>
      <w:r w:rsidRPr="00D9184B">
        <w:rPr>
          <w:rFonts w:cs="CAGLHH+TimesNewRoman"/>
          <w:color w:val="000000"/>
          <w:lang w:val="en-GB"/>
        </w:rPr>
        <w:t>comments</w:t>
      </w:r>
      <w:r w:rsidRPr="00CF7B9A">
        <w:rPr>
          <w:lang w:val="en-GB"/>
        </w:rPr>
        <w:t xml:space="preserve"> on</w:t>
      </w:r>
      <w:r w:rsidR="00901BB9" w:rsidRPr="00CF7B9A">
        <w:rPr>
          <w:lang w:val="en-GB"/>
        </w:rPr>
        <w:t xml:space="preserve"> the merits of the complaint </w:t>
      </w:r>
      <w:r w:rsidR="00692807" w:rsidRPr="00CF7B9A">
        <w:rPr>
          <w:lang w:val="en-GB"/>
        </w:rPr>
        <w:t>under Article 2, the SRSG</w:t>
      </w:r>
      <w:r w:rsidR="00A25A6E" w:rsidRPr="00CF7B9A">
        <w:rPr>
          <w:lang w:val="en-GB"/>
        </w:rPr>
        <w:t xml:space="preserve"> states that </w:t>
      </w:r>
      <w:r w:rsidR="00E6650B">
        <w:rPr>
          <w:lang w:val="en-GB"/>
        </w:rPr>
        <w:t xml:space="preserve">the complainants’ relatives </w:t>
      </w:r>
      <w:r w:rsidR="00A25A6E" w:rsidRPr="00CF7B9A">
        <w:rPr>
          <w:lang w:val="en-GB"/>
        </w:rPr>
        <w:t xml:space="preserve">disappeared in </w:t>
      </w:r>
      <w:r w:rsidR="00692807" w:rsidRPr="00CF7B9A">
        <w:rPr>
          <w:lang w:val="en-GB"/>
        </w:rPr>
        <w:t>life threatening circumstances</w:t>
      </w:r>
      <w:r w:rsidR="00E6650B">
        <w:rPr>
          <w:lang w:val="en-GB"/>
        </w:rPr>
        <w:t xml:space="preserve">, around the same time, prior to the adoption of </w:t>
      </w:r>
      <w:r w:rsidR="00C528C8" w:rsidRPr="00CF7B9A">
        <w:rPr>
          <w:lang w:val="en-GB"/>
        </w:rPr>
        <w:t>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w:t>
      </w:r>
      <w:r w:rsidR="00E6650B">
        <w:rPr>
          <w:lang w:val="en-GB"/>
        </w:rPr>
        <w:t xml:space="preserve"> extremely</w:t>
      </w:r>
      <w:r w:rsidRPr="00CF7B9A">
        <w:rPr>
          <w:lang w:val="en-GB"/>
        </w:rPr>
        <w:t xml:space="preserve"> tense</w:t>
      </w:r>
      <w:r w:rsidR="00E6650B">
        <w:rPr>
          <w:lang w:val="en-GB"/>
        </w:rPr>
        <w:t xml:space="preserve"> and there was a high level of violence all over Kosovo due to the on-going armed conflict. Soon after the establishment of UNMIK in June 1999, the security situation remained tense, as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00E6650B">
        <w:rPr>
          <w:lang w:val="en-GB"/>
        </w:rPr>
        <w:t>.</w:t>
      </w:r>
      <w:r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D9184B" w:rsidRDefault="00901BB9" w:rsidP="003D4233">
      <w:pPr>
        <w:numPr>
          <w:ilvl w:val="0"/>
          <w:numId w:val="2"/>
        </w:numPr>
        <w:tabs>
          <w:tab w:val="clear" w:pos="360"/>
          <w:tab w:val="num" w:pos="450"/>
        </w:tabs>
        <w:ind w:left="450" w:hanging="450"/>
        <w:jc w:val="both"/>
        <w:rPr>
          <w:rFonts w:cs="CAGLHH+TimesNewRoman"/>
          <w:color w:val="000000"/>
          <w:lang w:val="en-GB"/>
        </w:rPr>
      </w:pPr>
      <w:r w:rsidRPr="00CF7B9A">
        <w:rPr>
          <w:lang w:val="en-GB"/>
        </w:rPr>
        <w:lastRenderedPageBreak/>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E6650B" w:rsidRPr="00CA10B4">
        <w:rPr>
          <w:bCs/>
        </w:rPr>
        <w:t>Mr Slobodan Mitrović, Mr Milovan Krstić, Mr Miodrag Krsti</w:t>
      </w:r>
      <w:r w:rsidR="00E6650B" w:rsidRPr="00CA10B4">
        <w:rPr>
          <w:bCs/>
          <w:lang w:val="sr-Latn-CS"/>
        </w:rPr>
        <w:t xml:space="preserve">ć, </w:t>
      </w:r>
      <w:proofErr w:type="gramStart"/>
      <w:r w:rsidR="00E6650B" w:rsidRPr="00CA10B4">
        <w:rPr>
          <w:bCs/>
        </w:rPr>
        <w:t>Mr</w:t>
      </w:r>
      <w:proofErr w:type="gramEnd"/>
      <w:r w:rsidR="00E6650B" w:rsidRPr="00CA10B4">
        <w:rPr>
          <w:bCs/>
        </w:rPr>
        <w:t xml:space="preserve"> Živorad Krstić and Mr Miroslav Šuljinić</w:t>
      </w:r>
      <w:r w:rsidR="00E6650B" w:rsidRPr="00D9184B">
        <w:rPr>
          <w:rFonts w:cs="CAGLHH+TimesNewRoman"/>
          <w:color w:val="000000"/>
          <w:lang w:val="en-GB"/>
        </w:rPr>
        <w:t xml:space="preserve"> </w:t>
      </w:r>
      <w:r w:rsidR="00B76C09" w:rsidRPr="00D9184B">
        <w:rPr>
          <w:rFonts w:cs="CAGLHH+TimesNewRoman"/>
          <w:color w:val="000000"/>
          <w:lang w:val="en-GB"/>
        </w:rPr>
        <w:t>under Article 2 of the ECHR, procedural part</w:t>
      </w:r>
      <w:r w:rsidR="00A4704B" w:rsidRPr="00D9184B">
        <w:rPr>
          <w:rFonts w:cs="CAGLHH+TimesNewRoman"/>
          <w:color w:val="000000"/>
          <w:lang w:val="en-GB"/>
        </w:rPr>
        <w:t>, starting from 11 June 1999</w:t>
      </w:r>
      <w:r w:rsidRPr="00D9184B">
        <w:rPr>
          <w:rFonts w:cs="CAGLHH+TimesNewRoman"/>
          <w:color w:val="000000"/>
          <w:lang w:val="en-GB"/>
        </w:rPr>
        <w:t xml:space="preserve">. In the words of the SRSG, “the essential purpose of such investigation </w:t>
      </w:r>
      <w:r w:rsidR="00E6650B">
        <w:rPr>
          <w:rFonts w:cs="CAGLHH+TimesNewRoman"/>
          <w:color w:val="000000"/>
          <w:lang w:val="en-GB"/>
        </w:rPr>
        <w:t>[was]</w:t>
      </w:r>
      <w:r w:rsidRPr="00D9184B">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Pr>
          <w:rFonts w:cs="CAGLHH+TimesNewRoman"/>
          <w:color w:val="000000"/>
          <w:lang w:val="en-GB"/>
        </w:rPr>
        <w:t>.</w:t>
      </w:r>
      <w:r w:rsidRPr="00D9184B">
        <w:rPr>
          <w:rFonts w:cs="CAGLHH+TimesNewRoman"/>
          <w:color w:val="000000"/>
          <w:lang w:val="en-GB"/>
        </w:rPr>
        <w:t xml:space="preserve">” </w:t>
      </w:r>
    </w:p>
    <w:p w:rsidR="00B76C09" w:rsidRPr="00D9184B" w:rsidRDefault="00B76C09" w:rsidP="00D9184B">
      <w:pPr>
        <w:ind w:left="450"/>
        <w:jc w:val="both"/>
        <w:rPr>
          <w:rFonts w:cs="CAGLHH+TimesNewRoman"/>
          <w:color w:val="000000"/>
          <w:lang w:val="en-GB"/>
        </w:rPr>
      </w:pPr>
    </w:p>
    <w:p w:rsidR="00B76C09" w:rsidRPr="00CE12C1" w:rsidRDefault="00B76C09" w:rsidP="003D4233">
      <w:pPr>
        <w:numPr>
          <w:ilvl w:val="0"/>
          <w:numId w:val="2"/>
        </w:numPr>
        <w:tabs>
          <w:tab w:val="clear" w:pos="360"/>
          <w:tab w:val="num" w:pos="450"/>
        </w:tabs>
        <w:ind w:left="450" w:hanging="450"/>
        <w:jc w:val="both"/>
        <w:rPr>
          <w:lang w:val="en-GB"/>
        </w:rPr>
      </w:pPr>
      <w:r w:rsidRPr="00D9184B">
        <w:rPr>
          <w:rFonts w:cs="CAGLHH+TimesNewRoman"/>
          <w:color w:val="000000"/>
          <w:lang w:val="en-GB"/>
        </w:rPr>
        <w:t xml:space="preserve">The SRSG notes that </w:t>
      </w:r>
      <w:r w:rsidR="00C528C8" w:rsidRPr="00D9184B">
        <w:rPr>
          <w:rFonts w:cs="CAGLHH+TimesNewRoman"/>
          <w:color w:val="000000"/>
          <w:lang w:val="en-GB"/>
        </w:rPr>
        <w:t>the complainants do not allege a violation of the substantive part of Article 2,</w:t>
      </w:r>
      <w:r w:rsidR="00C528C8" w:rsidRPr="00CE12C1">
        <w:rPr>
          <w:lang w:val="en-GB"/>
        </w:rPr>
        <w:t xml:space="preserve">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3D4233">
      <w:pPr>
        <w:numPr>
          <w:ilvl w:val="0"/>
          <w:numId w:val="2"/>
        </w:numPr>
        <w:tabs>
          <w:tab w:val="clear" w:pos="360"/>
          <w:tab w:val="num" w:pos="450"/>
        </w:tabs>
        <w:ind w:left="450" w:hanging="450"/>
        <w:jc w:val="both"/>
      </w:pPr>
      <w:r w:rsidRPr="00575EC0">
        <w:t xml:space="preserve">The </w:t>
      </w:r>
      <w:r w:rsidRPr="00D9184B">
        <w:rPr>
          <w:rFonts w:cs="CAGLHH+TimesNewRoman"/>
          <w:color w:val="000000"/>
          <w:lang w:val="en-GB"/>
        </w:rPr>
        <w:t>SRSG</w:t>
      </w:r>
      <w:r w:rsidRPr="00575EC0">
        <w:t xml:space="preserve">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lastRenderedPageBreak/>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3D4233">
      <w:pPr>
        <w:numPr>
          <w:ilvl w:val="0"/>
          <w:numId w:val="2"/>
        </w:numPr>
        <w:tabs>
          <w:tab w:val="clear" w:pos="360"/>
          <w:tab w:val="num" w:pos="450"/>
        </w:tabs>
        <w:ind w:left="450" w:hanging="450"/>
        <w:jc w:val="both"/>
        <w:rPr>
          <w:i/>
        </w:rPr>
      </w:pPr>
      <w:r w:rsidRPr="00CE12C1">
        <w:t xml:space="preserve">In the view of the SRSG, UNMIK was faced with a very similar situation in Kosovo </w:t>
      </w:r>
      <w:r w:rsidR="001C086C" w:rsidRPr="00CE12C1">
        <w:t xml:space="preserve">“from 1999 to </w:t>
      </w:r>
      <w:r w:rsidR="001C086C" w:rsidRPr="00D9184B">
        <w:rPr>
          <w:rFonts w:cs="CAGLHH+TimesNewRoman"/>
          <w:color w:val="000000"/>
          <w:lang w:val="en-GB"/>
        </w:rPr>
        <w:t>2008</w:t>
      </w:r>
      <w:r w:rsidR="001C086C" w:rsidRPr="00CE12C1">
        <w:t xml:space="preserve">” </w:t>
      </w:r>
      <w:r w:rsidRPr="00CE12C1">
        <w:t xml:space="preserve">as the one in Bosnia </w:t>
      </w:r>
      <w:r w:rsidR="001C086C" w:rsidRPr="00CE12C1">
        <w:t>“from 1995 to 2005”</w:t>
      </w:r>
      <w:r w:rsidRPr="00CE12C1">
        <w:t>. The SRSG states that thousands of people were displaced or went missing</w:t>
      </w:r>
      <w:r w:rsidR="009E7C94" w:rsidRPr="00CE12C1">
        <w:t xml:space="preserve"> during the Kosovo conflict</w:t>
      </w:r>
      <w:r w:rsidRPr="00CE12C1">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3D4233">
      <w:pPr>
        <w:numPr>
          <w:ilvl w:val="0"/>
          <w:numId w:val="2"/>
        </w:numPr>
        <w:tabs>
          <w:tab w:val="clear" w:pos="360"/>
          <w:tab w:val="num" w:pos="450"/>
        </w:tabs>
        <w:ind w:left="450" w:hanging="450"/>
        <w:jc w:val="both"/>
        <w:rPr>
          <w:i/>
        </w:rPr>
      </w:pPr>
      <w:r w:rsidRPr="00575EC0">
        <w:t xml:space="preserve">In June 2002, UNMIK created the OMPF with the mandate to determine the fate of the missing; however its work was faced with many challenges at the beginning of the operations, </w:t>
      </w:r>
      <w:r w:rsidRPr="00D9184B">
        <w:rPr>
          <w:rFonts w:cs="CAGLHH+TimesNewRoman"/>
          <w:color w:val="000000"/>
          <w:lang w:val="en-GB"/>
        </w:rPr>
        <w:t>due</w:t>
      </w:r>
      <w:r w:rsidRPr="00575EC0">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3D4233">
      <w:pPr>
        <w:numPr>
          <w:ilvl w:val="0"/>
          <w:numId w:val="2"/>
        </w:numPr>
        <w:tabs>
          <w:tab w:val="clear" w:pos="360"/>
          <w:tab w:val="num" w:pos="450"/>
        </w:tabs>
        <w:ind w:left="450" w:hanging="450"/>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 xml:space="preserve">r of its work </w:t>
      </w:r>
      <w:proofErr w:type="gramStart"/>
      <w:r w:rsidRPr="00D939AE">
        <w:t>between 2002-2008</w:t>
      </w:r>
      <w:proofErr w:type="gramEnd"/>
      <w:r w:rsidRPr="00D939AE">
        <w:t>”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184B">
        <w:rPr>
          <w:rFonts w:cs="CAGLHH+TimesNewRoman"/>
          <w:color w:val="000000"/>
          <w:lang w:val="en-GB"/>
        </w:rPr>
        <w:t>understandably</w:t>
      </w:r>
      <w:r w:rsidR="00BF3FB5" w:rsidRPr="00D939AE">
        <w:t xml:space="preserve">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 xml:space="preserve">Cross and local missing </w:t>
      </w:r>
      <w:proofErr w:type="gramStart"/>
      <w:r w:rsidR="009E7C94">
        <w:t>persons</w:t>
      </w:r>
      <w:proofErr w:type="gramEnd"/>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3D4233">
      <w:pPr>
        <w:numPr>
          <w:ilvl w:val="0"/>
          <w:numId w:val="2"/>
        </w:numPr>
        <w:tabs>
          <w:tab w:val="clear" w:pos="360"/>
          <w:tab w:val="num" w:pos="450"/>
        </w:tabs>
        <w:ind w:left="450" w:hanging="450"/>
        <w:jc w:val="both"/>
      </w:pPr>
      <w:r w:rsidRPr="00575EC0">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w:t>
      </w:r>
      <w:r w:rsidRPr="00575EC0">
        <w:lastRenderedPageBreak/>
        <w:t>challenging task</w:t>
      </w:r>
      <w:r w:rsidR="00E446C4">
        <w:t>,</w:t>
      </w:r>
      <w:r w:rsidRPr="00575EC0">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3D4233">
      <w:pPr>
        <w:numPr>
          <w:ilvl w:val="0"/>
          <w:numId w:val="2"/>
        </w:numPr>
        <w:tabs>
          <w:tab w:val="clear" w:pos="360"/>
          <w:tab w:val="num" w:pos="450"/>
        </w:tabs>
        <w:ind w:left="450" w:hanging="450"/>
        <w:jc w:val="both"/>
      </w:pPr>
      <w:r w:rsidRPr="002E5E9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t xml:space="preserve">UNMIK international police officers working on cases of missing persons had to adjust to conducting investigations in a foreign territory and </w:t>
      </w:r>
      <w:r w:rsidR="00E80DAF">
        <w:t>culture</w:t>
      </w:r>
      <w:r w:rsidR="00BF3FB5" w:rsidRPr="002E5E9E">
        <w:t xml:space="preserve">,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3D4233">
      <w:pPr>
        <w:numPr>
          <w:ilvl w:val="0"/>
          <w:numId w:val="2"/>
        </w:numPr>
        <w:tabs>
          <w:tab w:val="clear" w:pos="360"/>
          <w:tab w:val="num" w:pos="450"/>
        </w:tabs>
        <w:ind w:left="450" w:hanging="450"/>
        <w:jc w:val="both"/>
      </w:pPr>
      <w:r w:rsidRPr="002E5E9E">
        <w:t>He further states that</w:t>
      </w:r>
      <w:r w:rsidR="00A4704B" w:rsidRPr="002E5E9E">
        <w:t>, after the conflict,</w:t>
      </w:r>
      <w:r w:rsidRPr="002E5E9E">
        <w:t xml:space="preserve"> </w:t>
      </w:r>
      <w:r w:rsidR="00A4704B" w:rsidRPr="002E5E9E">
        <w:t xml:space="preserve">all local institutions in Kosovo, including law-enforcement institutions and those responsible for locating the missing, were non-functional and had to be established from scratch. In addition, </w:t>
      </w:r>
      <w:r w:rsidRPr="002E5E9E">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t xml:space="preserve">which </w:t>
      </w:r>
      <w:r w:rsidRPr="002E5E9E">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B35803" w:rsidRDefault="00E6650B" w:rsidP="003D4233">
      <w:pPr>
        <w:numPr>
          <w:ilvl w:val="0"/>
          <w:numId w:val="2"/>
        </w:numPr>
        <w:tabs>
          <w:tab w:val="clear" w:pos="360"/>
          <w:tab w:val="num" w:pos="450"/>
        </w:tabs>
        <w:ind w:left="450" w:hanging="450"/>
        <w:jc w:val="both"/>
        <w:rPr>
          <w:bCs/>
        </w:rPr>
      </w:pPr>
      <w:r>
        <w:rPr>
          <w:bCs/>
        </w:rPr>
        <w:t xml:space="preserve">Further, with regard to all cases, the </w:t>
      </w:r>
      <w:r w:rsidR="00667526" w:rsidRPr="002E5E9E">
        <w:rPr>
          <w:bCs/>
        </w:rPr>
        <w:t xml:space="preserve">SRSG </w:t>
      </w:r>
      <w:r>
        <w:rPr>
          <w:bCs/>
        </w:rPr>
        <w:t xml:space="preserve">provides a brief overview of the actions undertaken by UNMIK authorities </w:t>
      </w:r>
      <w:r w:rsidR="00B35803">
        <w:rPr>
          <w:bCs/>
        </w:rPr>
        <w:t xml:space="preserve">and the available investigative documents </w:t>
      </w:r>
      <w:r w:rsidR="00B35803" w:rsidRPr="009C2A5A">
        <w:rPr>
          <w:bCs/>
        </w:rPr>
        <w:t xml:space="preserve">(see §§ </w:t>
      </w:r>
      <w:r w:rsidR="009C2A5A" w:rsidRPr="009C2A5A">
        <w:fldChar w:fldCharType="begin"/>
      </w:r>
      <w:r w:rsidR="009C2A5A" w:rsidRPr="009C2A5A">
        <w:instrText xml:space="preserve"> REF _Ref398292585 \r \h  \* MERGEFORMAT </w:instrText>
      </w:r>
      <w:r w:rsidR="009C2A5A" w:rsidRPr="009C2A5A">
        <w:fldChar w:fldCharType="separate"/>
      </w:r>
      <w:r w:rsidR="009C2A5A" w:rsidRPr="009C2A5A">
        <w:rPr>
          <w:bCs/>
        </w:rPr>
        <w:t>66</w:t>
      </w:r>
      <w:r w:rsidR="009C2A5A" w:rsidRPr="009C2A5A">
        <w:fldChar w:fldCharType="end"/>
      </w:r>
      <w:r w:rsidR="00B35803" w:rsidRPr="009C2A5A">
        <w:rPr>
          <w:bCs/>
        </w:rPr>
        <w:t xml:space="preserve"> </w:t>
      </w:r>
      <w:r w:rsidR="00B35803" w:rsidRPr="00B35803">
        <w:rPr>
          <w:bCs/>
          <w:highlight w:val="yellow"/>
        </w:rPr>
        <w:t xml:space="preserve">- </w:t>
      </w:r>
      <w:r w:rsidR="009C2A5A" w:rsidRPr="009C2A5A">
        <w:fldChar w:fldCharType="begin"/>
      </w:r>
      <w:r w:rsidR="009C2A5A" w:rsidRPr="009C2A5A">
        <w:instrText xml:space="preserve"> REF _Ref398292589 \r \h  \* MERGEFORMAT </w:instrText>
      </w:r>
      <w:r w:rsidR="009C2A5A" w:rsidRPr="009C2A5A">
        <w:fldChar w:fldCharType="separate"/>
      </w:r>
      <w:r w:rsidR="009C2A5A" w:rsidRPr="009C2A5A">
        <w:rPr>
          <w:bCs/>
        </w:rPr>
        <w:t>128</w:t>
      </w:r>
      <w:r w:rsidR="009C2A5A" w:rsidRPr="009C2A5A">
        <w:fldChar w:fldCharType="end"/>
      </w:r>
      <w:r w:rsidR="00B35803" w:rsidRPr="009C2A5A">
        <w:rPr>
          <w:bCs/>
        </w:rPr>
        <w:t xml:space="preserve"> above</w:t>
      </w:r>
      <w:r w:rsidR="00B35803">
        <w:rPr>
          <w:bCs/>
        </w:rPr>
        <w:t>). He then proceeds to justify the prima</w:t>
      </w:r>
      <w:r w:rsidR="00463305">
        <w:rPr>
          <w:bCs/>
        </w:rPr>
        <w:t>c</w:t>
      </w:r>
      <w:r w:rsidR="00B35803">
        <w:rPr>
          <w:bCs/>
        </w:rPr>
        <w:t>y jurisdiction of the ICTY over the investigations subject of this case</w:t>
      </w:r>
      <w:r w:rsidR="00B55961">
        <w:rPr>
          <w:bCs/>
        </w:rPr>
        <w:t>.</w:t>
      </w:r>
    </w:p>
    <w:p w:rsidR="00B35803" w:rsidRDefault="00B35803" w:rsidP="00B35803">
      <w:pPr>
        <w:pStyle w:val="ListParagraph"/>
        <w:rPr>
          <w:bCs/>
        </w:rPr>
      </w:pPr>
    </w:p>
    <w:p w:rsidR="00CD0CA4" w:rsidRDefault="00B35803" w:rsidP="003D4233">
      <w:pPr>
        <w:numPr>
          <w:ilvl w:val="0"/>
          <w:numId w:val="2"/>
        </w:numPr>
        <w:tabs>
          <w:tab w:val="clear" w:pos="360"/>
          <w:tab w:val="num" w:pos="450"/>
        </w:tabs>
        <w:ind w:left="450" w:hanging="450"/>
        <w:jc w:val="both"/>
        <w:rPr>
          <w:bCs/>
        </w:rPr>
      </w:pPr>
      <w:r>
        <w:rPr>
          <w:bCs/>
        </w:rPr>
        <w:t xml:space="preserve">In this regard, the SRSG, first, states the fact that </w:t>
      </w:r>
      <w:r w:rsidR="00CD0CA4" w:rsidRPr="00CA10B4">
        <w:rPr>
          <w:bCs/>
        </w:rPr>
        <w:t>Mr Slobodan Mitrović, Mr Milovan Krstić, Mr Miodrag Krsti</w:t>
      </w:r>
      <w:r w:rsidR="00CD0CA4" w:rsidRPr="00CA10B4">
        <w:rPr>
          <w:bCs/>
          <w:lang w:val="sr-Latn-CS"/>
        </w:rPr>
        <w:t xml:space="preserve">ć, </w:t>
      </w:r>
      <w:r w:rsidR="00CD0CA4" w:rsidRPr="00CA10B4">
        <w:rPr>
          <w:bCs/>
        </w:rPr>
        <w:t>Mr Živorad Krstić and Mr Miroslav Šuljinić</w:t>
      </w:r>
      <w:r w:rsidR="00CD0CA4">
        <w:rPr>
          <w:bCs/>
        </w:rPr>
        <w:t xml:space="preserve"> are all mentioned as</w:t>
      </w:r>
      <w:r>
        <w:rPr>
          <w:bCs/>
        </w:rPr>
        <w:t xml:space="preserve"> </w:t>
      </w:r>
      <w:r w:rsidR="00CD0CA4">
        <w:rPr>
          <w:bCs/>
        </w:rPr>
        <w:t xml:space="preserve">alleged </w:t>
      </w:r>
      <w:r>
        <w:rPr>
          <w:bCs/>
        </w:rPr>
        <w:t xml:space="preserve">victims </w:t>
      </w:r>
      <w:r w:rsidR="00CD0CA4">
        <w:rPr>
          <w:bCs/>
        </w:rPr>
        <w:t xml:space="preserve">in the ICTY indictments in the </w:t>
      </w:r>
      <w:r>
        <w:rPr>
          <w:bCs/>
        </w:rPr>
        <w:t>case IT-03-66 against Fatmir Limaj, Haradin Bala and Isak Musliu</w:t>
      </w:r>
      <w:r w:rsidR="00CD0CA4">
        <w:rPr>
          <w:bCs/>
        </w:rPr>
        <w:t xml:space="preserve">, however, the Tribunal did not find any of the accused </w:t>
      </w:r>
      <w:r w:rsidR="00B55961">
        <w:rPr>
          <w:bCs/>
        </w:rPr>
        <w:t xml:space="preserve">guilty of </w:t>
      </w:r>
      <w:r w:rsidR="00CD0CA4">
        <w:rPr>
          <w:bCs/>
        </w:rPr>
        <w:t xml:space="preserve">their abduction and disappearance </w:t>
      </w:r>
      <w:r>
        <w:rPr>
          <w:bCs/>
        </w:rPr>
        <w:t xml:space="preserve"> (see § </w:t>
      </w:r>
      <w:r w:rsidR="009C2A5A" w:rsidRPr="009C2A5A">
        <w:fldChar w:fldCharType="begin"/>
      </w:r>
      <w:r w:rsidR="009C2A5A" w:rsidRPr="009C2A5A">
        <w:instrText xml:space="preserve"> REF _Ref391911144 \r \h  \* MERGEFORMAT </w:instrText>
      </w:r>
      <w:r w:rsidR="009C2A5A" w:rsidRPr="009C2A5A">
        <w:fldChar w:fldCharType="separate"/>
      </w:r>
      <w:r w:rsidR="009C2A5A" w:rsidRPr="009C2A5A">
        <w:rPr>
          <w:bCs/>
        </w:rPr>
        <w:t>129</w:t>
      </w:r>
      <w:r w:rsidR="009C2A5A" w:rsidRPr="009C2A5A">
        <w:fldChar w:fldCharType="end"/>
      </w:r>
      <w:r w:rsidRPr="009C2A5A">
        <w:rPr>
          <w:bCs/>
        </w:rPr>
        <w:t xml:space="preserve"> - </w:t>
      </w:r>
      <w:r w:rsidR="009C2A5A" w:rsidRPr="009C2A5A">
        <w:fldChar w:fldCharType="begin"/>
      </w:r>
      <w:r w:rsidR="009C2A5A" w:rsidRPr="009C2A5A">
        <w:instrText xml:space="preserve"> REF _Ref398292827 \r \h  \* MERGEFORMAT </w:instrText>
      </w:r>
      <w:r w:rsidR="009C2A5A" w:rsidRPr="009C2A5A">
        <w:fldChar w:fldCharType="separate"/>
      </w:r>
      <w:r w:rsidR="009C2A5A" w:rsidRPr="009C2A5A">
        <w:rPr>
          <w:bCs/>
        </w:rPr>
        <w:t>133</w:t>
      </w:r>
      <w:r w:rsidR="009C2A5A" w:rsidRPr="009C2A5A">
        <w:fldChar w:fldCharType="end"/>
      </w:r>
      <w:r>
        <w:rPr>
          <w:bCs/>
        </w:rPr>
        <w:t xml:space="preserve"> above)</w:t>
      </w:r>
      <w:r w:rsidR="00CD0CA4">
        <w:rPr>
          <w:bCs/>
        </w:rPr>
        <w:t>.</w:t>
      </w:r>
    </w:p>
    <w:p w:rsidR="00CD0CA4" w:rsidRDefault="00CD0CA4" w:rsidP="00CD0CA4">
      <w:pPr>
        <w:pStyle w:val="ListParagraph"/>
        <w:rPr>
          <w:bCs/>
        </w:rPr>
      </w:pPr>
    </w:p>
    <w:p w:rsidR="00B22FF2" w:rsidRPr="00305A83" w:rsidRDefault="001F5BEA" w:rsidP="003D4233">
      <w:pPr>
        <w:numPr>
          <w:ilvl w:val="0"/>
          <w:numId w:val="2"/>
        </w:numPr>
        <w:tabs>
          <w:tab w:val="clear" w:pos="360"/>
          <w:tab w:val="num" w:pos="450"/>
        </w:tabs>
        <w:ind w:left="450" w:hanging="450"/>
        <w:jc w:val="both"/>
        <w:rPr>
          <w:bCs/>
        </w:rPr>
      </w:pPr>
      <w:bookmarkStart w:id="54" w:name="_Ref401155332"/>
      <w:r>
        <w:rPr>
          <w:bCs/>
        </w:rPr>
        <w:t>C</w:t>
      </w:r>
      <w:r w:rsidR="00CD0CA4" w:rsidRPr="00305A83">
        <w:rPr>
          <w:bCs/>
        </w:rPr>
        <w:t xml:space="preserve">iting the ICTY Prosecutor’s press release of 29 September 1999, the SRSG </w:t>
      </w:r>
      <w:r w:rsidR="00B22FF2" w:rsidRPr="00305A83">
        <w:rPr>
          <w:bCs/>
        </w:rPr>
        <w:t xml:space="preserve">adds that: “[i]t is clear that OTP </w:t>
      </w:r>
      <w:r w:rsidR="00F63CAF">
        <w:rPr>
          <w:bCs/>
        </w:rPr>
        <w:t xml:space="preserve">[Office of the Prosecutor] </w:t>
      </w:r>
      <w:r w:rsidR="00B22FF2" w:rsidRPr="00305A83">
        <w:rPr>
          <w:bCs/>
        </w:rPr>
        <w:t>ICTY had neither the mandate, nor the resources, to function as the primary investigative and prosecutorial agency for all criminal acts committed on the territory of Kosovo. The investigation and prosecution of offences, which may fall outside the scope of the jurisdiction described above is properly the responsibility of UNMIK, through UNCivPol and the newly formed civilian police in Kosovo, assisted by KFOR.</w:t>
      </w:r>
      <w:r w:rsidR="00CD0CA4" w:rsidRPr="00305A83">
        <w:rPr>
          <w:bCs/>
        </w:rPr>
        <w:t xml:space="preserve"> </w:t>
      </w:r>
      <w:r w:rsidR="00B22FF2" w:rsidRPr="00305A83">
        <w:rPr>
          <w:bCs/>
        </w:rPr>
        <w:t>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w:t>
      </w:r>
      <w:bookmarkEnd w:id="54"/>
    </w:p>
    <w:p w:rsidR="0082741C" w:rsidRDefault="0082741C" w:rsidP="00BE6362">
      <w:pPr>
        <w:pStyle w:val="ListParagraph"/>
        <w:tabs>
          <w:tab w:val="num" w:pos="450"/>
        </w:tabs>
        <w:ind w:left="450" w:hanging="450"/>
        <w:rPr>
          <w:bCs/>
        </w:rPr>
      </w:pPr>
    </w:p>
    <w:p w:rsidR="00B55961" w:rsidRPr="00E51FF0" w:rsidRDefault="00B22FF2" w:rsidP="00B55961">
      <w:pPr>
        <w:numPr>
          <w:ilvl w:val="0"/>
          <w:numId w:val="2"/>
        </w:numPr>
        <w:tabs>
          <w:tab w:val="clear" w:pos="360"/>
          <w:tab w:val="num" w:pos="450"/>
        </w:tabs>
        <w:ind w:left="450" w:hanging="450"/>
        <w:jc w:val="both"/>
        <w:rPr>
          <w:lang w:val="en-GB"/>
        </w:rPr>
      </w:pPr>
      <w:bookmarkStart w:id="55" w:name="_Ref401231068"/>
      <w:r w:rsidRPr="005E5F27">
        <w:rPr>
          <w:bCs/>
        </w:rPr>
        <w:t xml:space="preserve">In the SRSG’s view, the investigation and prosecution in the case of </w:t>
      </w:r>
      <w:r w:rsidR="00B55961" w:rsidRPr="005E5F27">
        <w:rPr>
          <w:bCs/>
          <w:i/>
        </w:rPr>
        <w:t>Fatmir L</w:t>
      </w:r>
      <w:r w:rsidRPr="005E5F27">
        <w:rPr>
          <w:bCs/>
          <w:i/>
        </w:rPr>
        <w:t>imaj et al</w:t>
      </w:r>
      <w:r w:rsidRPr="005E5F27">
        <w:rPr>
          <w:bCs/>
        </w:rPr>
        <w:t xml:space="preserve"> was considered by the ICTY as falling directly within the scope of its investigative priorities. The accused in that case had been specifically indicted for the instigation, ordering and planning of the murders of Mr Slobodan Mitrović, Mr Milovan Krstić, Mr Miodrag Krsti</w:t>
      </w:r>
      <w:r w:rsidRPr="005E5F27">
        <w:rPr>
          <w:bCs/>
          <w:lang w:val="sr-Latn-CS"/>
        </w:rPr>
        <w:t xml:space="preserve">ć, </w:t>
      </w:r>
      <w:r w:rsidRPr="005E5F27">
        <w:rPr>
          <w:bCs/>
        </w:rPr>
        <w:t xml:space="preserve">Mr Živorad Krstić and Mr Miroslav Šuljinić, who were </w:t>
      </w:r>
      <w:r w:rsidR="0024522D" w:rsidRPr="005E5F27">
        <w:rPr>
          <w:bCs/>
        </w:rPr>
        <w:t xml:space="preserve">allegedly </w:t>
      </w:r>
      <w:r w:rsidRPr="005E5F27">
        <w:rPr>
          <w:bCs/>
        </w:rPr>
        <w:t xml:space="preserve">killed by the KLA at the Llapushnik/Lapušnik </w:t>
      </w:r>
      <w:r w:rsidR="0024522D" w:rsidRPr="005E5F27">
        <w:rPr>
          <w:bCs/>
        </w:rPr>
        <w:t>P</w:t>
      </w:r>
      <w:r w:rsidRPr="005E5F27">
        <w:rPr>
          <w:bCs/>
        </w:rPr>
        <w:t>rison Camp between 24 June and 25 July 1998.</w:t>
      </w:r>
      <w:r w:rsidR="00B55961" w:rsidRPr="005E5F27">
        <w:rPr>
          <w:bCs/>
        </w:rPr>
        <w:t xml:space="preserve"> However, t</w:t>
      </w:r>
      <w:r w:rsidR="00B55961" w:rsidRPr="005E5F27">
        <w:t xml:space="preserve">he SRSG also states that it is </w:t>
      </w:r>
      <w:r w:rsidR="00B55961" w:rsidRPr="00E51FF0">
        <w:t xml:space="preserve">not possible to determine from the documents available to UNMIK whether any formal request for deferral of the investigation to ICTY jurisdiction, pursuant to Rules 8 - 10 of the </w:t>
      </w:r>
      <w:r w:rsidR="00B55961" w:rsidRPr="00E51FF0">
        <w:rPr>
          <w:lang w:val="en-GB"/>
        </w:rPr>
        <w:t>the ICTY Rules of Procedure and Evidence</w:t>
      </w:r>
      <w:r w:rsidR="00F378D0" w:rsidRPr="00E51FF0">
        <w:rPr>
          <w:lang w:val="en-GB"/>
        </w:rPr>
        <w:t xml:space="preserve"> (RoP)</w:t>
      </w:r>
      <w:r w:rsidR="00B55961" w:rsidRPr="00E51FF0">
        <w:rPr>
          <w:lang w:val="en-GB"/>
        </w:rPr>
        <w:t xml:space="preserve">, </w:t>
      </w:r>
      <w:r w:rsidR="00B55961" w:rsidRPr="00E51FF0">
        <w:t>was made by the ICTY to UNMIK</w:t>
      </w:r>
      <w:r w:rsidR="00B55961" w:rsidRPr="00E51FF0">
        <w:rPr>
          <w:lang w:val="en-GB"/>
        </w:rPr>
        <w:t>.</w:t>
      </w:r>
      <w:r w:rsidR="00463305" w:rsidRPr="00E51FF0">
        <w:rPr>
          <w:lang w:val="en-GB"/>
        </w:rPr>
        <w:t xml:space="preserve"> However, in the SRSG’s view</w:t>
      </w:r>
      <w:r w:rsidR="007358FD" w:rsidRPr="00E51FF0">
        <w:rPr>
          <w:lang w:val="en-GB"/>
        </w:rPr>
        <w:t>,</w:t>
      </w:r>
      <w:r w:rsidR="00463305" w:rsidRPr="00E51FF0">
        <w:rPr>
          <w:lang w:val="en-GB"/>
        </w:rPr>
        <w:t xml:space="preserve"> </w:t>
      </w:r>
      <w:r w:rsidR="007358FD" w:rsidRPr="00E51FF0">
        <w:rPr>
          <w:lang w:val="en-GB"/>
        </w:rPr>
        <w:t>“</w:t>
      </w:r>
      <w:r w:rsidR="0063322C" w:rsidRPr="00E51FF0">
        <w:rPr>
          <w:lang w:val="en-GB"/>
        </w:rPr>
        <w:t>where ICTY asserts its primacy, by seizure of a particular case for which formal</w:t>
      </w:r>
      <w:r w:rsidR="007358FD" w:rsidRPr="00E51FF0">
        <w:rPr>
          <w:lang w:val="en-GB"/>
        </w:rPr>
        <w:t xml:space="preserve"> p</w:t>
      </w:r>
      <w:r w:rsidR="0063322C" w:rsidRPr="00E51FF0">
        <w:rPr>
          <w:lang w:val="en-GB"/>
        </w:rPr>
        <w:t>roceedings have not already commenced in a national court, there would be no legal requirement to request national court to defer competence, neither there would be the risk of offending due process […]”</w:t>
      </w:r>
      <w:bookmarkEnd w:id="55"/>
    </w:p>
    <w:p w:rsidR="00B22FF2" w:rsidRDefault="00B22FF2" w:rsidP="00B22FF2">
      <w:pPr>
        <w:pStyle w:val="ListParagraph"/>
        <w:rPr>
          <w:bCs/>
        </w:rPr>
      </w:pPr>
    </w:p>
    <w:p w:rsidR="00B22FF2" w:rsidRDefault="00B22FF2" w:rsidP="003D4233">
      <w:pPr>
        <w:numPr>
          <w:ilvl w:val="0"/>
          <w:numId w:val="2"/>
        </w:numPr>
        <w:tabs>
          <w:tab w:val="clear" w:pos="360"/>
          <w:tab w:val="num" w:pos="450"/>
        </w:tabs>
        <w:ind w:left="450" w:hanging="450"/>
        <w:jc w:val="both"/>
        <w:rPr>
          <w:bCs/>
        </w:rPr>
      </w:pPr>
      <w:r>
        <w:rPr>
          <w:bCs/>
        </w:rPr>
        <w:t xml:space="preserve">The SRSG, referring to the ECtHR Case </w:t>
      </w:r>
      <w:r w:rsidRPr="00B22FF2">
        <w:rPr>
          <w:bCs/>
          <w:i/>
        </w:rPr>
        <w:t>Brecknell v. United Kingdom</w:t>
      </w:r>
      <w:r>
        <w:rPr>
          <w:bCs/>
        </w:rPr>
        <w:t xml:space="preserve">, also argues that “[t]here is no absolute </w:t>
      </w:r>
      <w:r w:rsidR="00B55961">
        <w:rPr>
          <w:bCs/>
        </w:rPr>
        <w:t>r</w:t>
      </w:r>
      <w:r>
        <w:rPr>
          <w:bCs/>
        </w:rPr>
        <w:t>ight … to o</w:t>
      </w:r>
      <w:r w:rsidR="003032C7">
        <w:rPr>
          <w:bCs/>
        </w:rPr>
        <w:t>b</w:t>
      </w:r>
      <w:r>
        <w:rPr>
          <w:bCs/>
        </w:rPr>
        <w:t>tain a prosecution or conviction</w:t>
      </w:r>
      <w:r w:rsidR="00107B1D">
        <w:rPr>
          <w:bCs/>
        </w:rPr>
        <w:t xml:space="preserve"> … and the fact that an investigation ends without concrete, or with only limited, results is not indicative of any failings as such. The obligation [under Article 2 o</w:t>
      </w:r>
      <w:r w:rsidR="003032C7">
        <w:rPr>
          <w:bCs/>
        </w:rPr>
        <w:t>f</w:t>
      </w:r>
      <w:r w:rsidR="00107B1D">
        <w:rPr>
          <w:bCs/>
        </w:rPr>
        <w:t xml:space="preserve"> the ECHR] is of means only.” In the SRSG’s view, the essential purpose of Article 2 of the ECHR in this case has been satisfied. </w:t>
      </w:r>
      <w:r w:rsidR="00FE66F8">
        <w:rPr>
          <w:bCs/>
        </w:rPr>
        <w:t>He fu</w:t>
      </w:r>
      <w:r w:rsidR="00107B1D">
        <w:rPr>
          <w:bCs/>
        </w:rPr>
        <w:t>rther states that “any suggestion that obligation remained on UNMIK with respect to the conduct of separate</w:t>
      </w:r>
      <w:r w:rsidR="00FE66F8">
        <w:rPr>
          <w:bCs/>
        </w:rPr>
        <w:t xml:space="preserve"> </w:t>
      </w:r>
      <w:r w:rsidR="00107B1D">
        <w:rPr>
          <w:bCs/>
        </w:rPr>
        <w:t>criminal proceedings simultaneously with those commenced by the ICTY, raises the danger of Complainants, unhappy with the outcome of the competent legal proceedings, simply pursuing remedies from other competent authorities by asserting a failure to act with respect to the same proceedings.”</w:t>
      </w:r>
    </w:p>
    <w:p w:rsidR="00B22FF2" w:rsidRDefault="00B22FF2" w:rsidP="00B22FF2">
      <w:pPr>
        <w:ind w:left="450"/>
        <w:jc w:val="both"/>
        <w:rPr>
          <w:bCs/>
        </w:rPr>
      </w:pPr>
    </w:p>
    <w:p w:rsidR="002E5F93" w:rsidRPr="00EF7DB5" w:rsidRDefault="002E5F93" w:rsidP="003D4233">
      <w:pPr>
        <w:numPr>
          <w:ilvl w:val="0"/>
          <w:numId w:val="2"/>
        </w:numPr>
        <w:tabs>
          <w:tab w:val="clear" w:pos="360"/>
          <w:tab w:val="num" w:pos="450"/>
        </w:tabs>
        <w:ind w:left="450" w:hanging="450"/>
        <w:jc w:val="both"/>
        <w:rPr>
          <w:bCs/>
        </w:rPr>
      </w:pPr>
      <w:r w:rsidRPr="00EF7DB5">
        <w:rPr>
          <w:bCs/>
        </w:rPr>
        <w:t xml:space="preserve">The SRSG therefore </w:t>
      </w:r>
      <w:r w:rsidR="00FE66F8">
        <w:rPr>
          <w:bCs/>
        </w:rPr>
        <w:t>concludes that</w:t>
      </w:r>
      <w:r w:rsidRPr="00EF7DB5">
        <w:rPr>
          <w:bCs/>
        </w:rPr>
        <w:t xml:space="preserve"> UNMIK </w:t>
      </w:r>
      <w:r w:rsidR="00FE66F8">
        <w:rPr>
          <w:bCs/>
        </w:rPr>
        <w:t xml:space="preserve">authorities </w:t>
      </w:r>
      <w:r w:rsidR="000A3A7D" w:rsidRPr="00EF7DB5">
        <w:rPr>
          <w:bCs/>
        </w:rPr>
        <w:t xml:space="preserve">acted </w:t>
      </w:r>
      <w:r w:rsidR="00FE66F8">
        <w:rPr>
          <w:bCs/>
        </w:rPr>
        <w:t xml:space="preserve">fully </w:t>
      </w:r>
      <w:r w:rsidR="000A3A7D" w:rsidRPr="00EF7DB5">
        <w:rPr>
          <w:bCs/>
        </w:rPr>
        <w:t>in accordance with the procedural requirements of Article 2 of t</w:t>
      </w:r>
      <w:r w:rsidR="00FE66F8">
        <w:rPr>
          <w:bCs/>
        </w:rPr>
        <w:t>he ECHR, in relation to all victims in this case.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3D4233">
      <w:pPr>
        <w:pStyle w:val="ListParagraph"/>
        <w:numPr>
          <w:ilvl w:val="1"/>
          <w:numId w:val="1"/>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A565BA" w:rsidRDefault="009813B4" w:rsidP="003D4233">
      <w:pPr>
        <w:numPr>
          <w:ilvl w:val="0"/>
          <w:numId w:val="2"/>
        </w:numPr>
        <w:tabs>
          <w:tab w:val="clear" w:pos="360"/>
          <w:tab w:val="num" w:pos="450"/>
        </w:tabs>
        <w:ind w:left="450" w:hanging="450"/>
        <w:jc w:val="both"/>
        <w:rPr>
          <w:color w:val="000000" w:themeColor="text1"/>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w:t>
      </w:r>
      <w:r w:rsidRPr="00A565BA">
        <w:rPr>
          <w:bCs/>
          <w:color w:val="000000" w:themeColor="text1"/>
          <w:lang w:val="en-GB"/>
        </w:rPr>
        <w:t>mming from the right to life, guar</w:t>
      </w:r>
      <w:r w:rsidR="001B245B" w:rsidRPr="00A565BA">
        <w:rPr>
          <w:bCs/>
          <w:color w:val="000000" w:themeColor="text1"/>
          <w:lang w:val="en-GB"/>
        </w:rPr>
        <w:t>anteed by Article 2 of the ECHR</w:t>
      </w:r>
      <w:r w:rsidRPr="00A565BA">
        <w:rPr>
          <w:bCs/>
          <w:color w:val="000000" w:themeColor="text1"/>
          <w:lang w:val="en-GB"/>
        </w:rPr>
        <w:t xml:space="preserve"> in that UNMIK Police </w:t>
      </w:r>
      <w:r w:rsidRPr="00A565BA">
        <w:rPr>
          <w:bCs/>
          <w:color w:val="000000" w:themeColor="text1"/>
          <w:lang w:val="en-GB"/>
        </w:rPr>
        <w:lastRenderedPageBreak/>
        <w:t xml:space="preserve">did not </w:t>
      </w:r>
      <w:r w:rsidRPr="00A565BA">
        <w:rPr>
          <w:bCs/>
          <w:color w:val="000000" w:themeColor="text1"/>
        </w:rPr>
        <w:t>conduct</w:t>
      </w:r>
      <w:r w:rsidRPr="00A565BA">
        <w:rPr>
          <w:bCs/>
          <w:color w:val="000000" w:themeColor="text1"/>
          <w:lang w:val="en-GB"/>
        </w:rPr>
        <w:t xml:space="preserve"> an effective investigation into </w:t>
      </w:r>
      <w:r w:rsidR="00A4704B" w:rsidRPr="00A565BA">
        <w:rPr>
          <w:bCs/>
          <w:color w:val="000000" w:themeColor="text1"/>
          <w:lang w:val="en-GB"/>
        </w:rPr>
        <w:t xml:space="preserve">the </w:t>
      </w:r>
      <w:r w:rsidR="00672E78" w:rsidRPr="00A565BA">
        <w:rPr>
          <w:color w:val="000000" w:themeColor="text1"/>
          <w:lang w:val="en-GB"/>
        </w:rPr>
        <w:t xml:space="preserve">abduction and </w:t>
      </w:r>
      <w:r w:rsidR="00672E78" w:rsidRPr="00A565BA">
        <w:rPr>
          <w:bCs/>
          <w:color w:val="000000" w:themeColor="text1"/>
          <w:lang w:val="en-GB"/>
        </w:rPr>
        <w:t xml:space="preserve">disappearance of </w:t>
      </w:r>
      <w:r w:rsidR="00672E78" w:rsidRPr="00A565BA">
        <w:rPr>
          <w:bCs/>
          <w:color w:val="000000" w:themeColor="text1"/>
        </w:rPr>
        <w:t>Mr Slobodan Mitrović, Mr Milovan Krstić, Mr Miodrag Krsti</w:t>
      </w:r>
      <w:r w:rsidR="00672E78" w:rsidRPr="00A565BA">
        <w:rPr>
          <w:bCs/>
          <w:color w:val="000000" w:themeColor="text1"/>
          <w:lang w:val="sr-Latn-CS"/>
        </w:rPr>
        <w:t xml:space="preserve">ć, </w:t>
      </w:r>
      <w:r w:rsidR="00672E78" w:rsidRPr="00A565BA">
        <w:rPr>
          <w:bCs/>
          <w:color w:val="000000" w:themeColor="text1"/>
        </w:rPr>
        <w:t>Mr Živorad Krstić and Mr Miroslav Šuljinić</w:t>
      </w:r>
      <w:r w:rsidR="00EF4A0C" w:rsidRPr="00A565BA">
        <w:rPr>
          <w:color w:val="000000" w:themeColor="text1"/>
          <w:lang w:val="en-GB"/>
        </w:rPr>
        <w:t>.</w:t>
      </w:r>
    </w:p>
    <w:p w:rsidR="002E1F12" w:rsidRPr="00A565BA"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A565BA" w:rsidRDefault="002E1F12" w:rsidP="00F0555D">
      <w:pPr>
        <w:pStyle w:val="ListParagraph"/>
        <w:numPr>
          <w:ilvl w:val="0"/>
          <w:numId w:val="5"/>
        </w:numPr>
        <w:tabs>
          <w:tab w:val="num" w:pos="270"/>
        </w:tabs>
        <w:suppressAutoHyphens w:val="0"/>
        <w:ind w:left="270" w:hanging="270"/>
        <w:contextualSpacing/>
        <w:jc w:val="both"/>
        <w:rPr>
          <w:i/>
          <w:color w:val="000000" w:themeColor="text1"/>
          <w:lang w:val="en-GB" w:eastAsia="en-US"/>
        </w:rPr>
      </w:pPr>
      <w:r w:rsidRPr="00477162">
        <w:rPr>
          <w:i/>
          <w:lang w:val="en-GB" w:eastAsia="en-US"/>
        </w:rPr>
        <w:t>Submission</w:t>
      </w:r>
      <w:r w:rsidRPr="00A565BA">
        <w:rPr>
          <w:i/>
          <w:color w:val="000000" w:themeColor="text1"/>
          <w:lang w:val="en-GB" w:eastAsia="en-US"/>
        </w:rPr>
        <w:t xml:space="preserve"> of relevant files</w:t>
      </w:r>
    </w:p>
    <w:p w:rsidR="002E1F12" w:rsidRPr="00A565BA" w:rsidRDefault="002E1F12" w:rsidP="002E1F12">
      <w:pPr>
        <w:pStyle w:val="ListParagraph"/>
        <w:tabs>
          <w:tab w:val="left" w:pos="630"/>
          <w:tab w:val="left" w:pos="2790"/>
        </w:tabs>
        <w:autoSpaceDE w:val="0"/>
        <w:ind w:left="450"/>
        <w:jc w:val="both"/>
        <w:rPr>
          <w:color w:val="000000" w:themeColor="text1"/>
          <w:lang w:val="en-GB"/>
        </w:rPr>
      </w:pPr>
    </w:p>
    <w:p w:rsidR="00E54D93" w:rsidRPr="00A565BA" w:rsidRDefault="00ED2DB4" w:rsidP="003D4233">
      <w:pPr>
        <w:numPr>
          <w:ilvl w:val="0"/>
          <w:numId w:val="2"/>
        </w:numPr>
        <w:tabs>
          <w:tab w:val="clear" w:pos="360"/>
          <w:tab w:val="num" w:pos="450"/>
        </w:tabs>
        <w:ind w:left="450" w:hanging="450"/>
        <w:jc w:val="both"/>
        <w:rPr>
          <w:color w:val="000000" w:themeColor="text1"/>
          <w:lang w:val="en-GB"/>
        </w:rPr>
      </w:pPr>
      <w:r w:rsidRPr="00A565BA">
        <w:rPr>
          <w:color w:val="000000" w:themeColor="text1"/>
        </w:rPr>
        <w:t xml:space="preserve">The SRSG observes that all available files regarding the investigation have been presented to the Panel.  </w:t>
      </w:r>
      <w:r w:rsidR="008C549C" w:rsidRPr="00A565BA">
        <w:rPr>
          <w:color w:val="000000" w:themeColor="text1"/>
        </w:rPr>
        <w:t xml:space="preserve">Furthermore, </w:t>
      </w:r>
      <w:r w:rsidR="00BD6AAB" w:rsidRPr="00A565BA">
        <w:rPr>
          <w:color w:val="000000" w:themeColor="text1"/>
          <w:lang w:val="en-GB"/>
        </w:rPr>
        <w:t>o</w:t>
      </w:r>
      <w:r w:rsidR="00351D75" w:rsidRPr="00A565BA">
        <w:rPr>
          <w:color w:val="000000" w:themeColor="text1"/>
        </w:rPr>
        <w:t xml:space="preserve">n </w:t>
      </w:r>
      <w:r w:rsidR="00BD6AAB" w:rsidRPr="00A565BA">
        <w:rPr>
          <w:color w:val="000000" w:themeColor="text1"/>
          <w:lang w:val="en-GB"/>
        </w:rPr>
        <w:t>21 February 2014</w:t>
      </w:r>
      <w:r w:rsidR="00351D75" w:rsidRPr="00A565BA">
        <w:rPr>
          <w:color w:val="000000" w:themeColor="text1"/>
        </w:rPr>
        <w:t xml:space="preserve">, UNMIK confirmed to the Panel that </w:t>
      </w:r>
      <w:r w:rsidR="008C549C" w:rsidRPr="00A565BA">
        <w:rPr>
          <w:color w:val="000000" w:themeColor="text1"/>
        </w:rPr>
        <w:t xml:space="preserve">the </w:t>
      </w:r>
      <w:r w:rsidR="00351D75" w:rsidRPr="00A565BA">
        <w:rPr>
          <w:color w:val="000000" w:themeColor="text1"/>
        </w:rPr>
        <w:t>disclosure ma</w:t>
      </w:r>
      <w:r w:rsidR="00BD6AAB" w:rsidRPr="00A565BA">
        <w:rPr>
          <w:color w:val="000000" w:themeColor="text1"/>
        </w:rPr>
        <w:t>y be considered complete (see §</w:t>
      </w:r>
      <w:r w:rsidR="00351D75" w:rsidRPr="00A565BA">
        <w:rPr>
          <w:color w:val="000000" w:themeColor="text1"/>
        </w:rPr>
        <w:t xml:space="preserve"> </w:t>
      </w:r>
      <w:r w:rsidR="009C2A5A" w:rsidRPr="009C2A5A">
        <w:fldChar w:fldCharType="begin"/>
      </w:r>
      <w:r w:rsidR="009C2A5A" w:rsidRPr="009C2A5A">
        <w:instrText xml:space="preserve"> REF _Ref398312355 \r \h  \* MERGEFORMAT </w:instrText>
      </w:r>
      <w:r w:rsidR="009C2A5A" w:rsidRPr="009C2A5A">
        <w:fldChar w:fldCharType="separate"/>
      </w:r>
      <w:r w:rsidR="009C2A5A" w:rsidRPr="009C2A5A">
        <w:rPr>
          <w:color w:val="000000" w:themeColor="text1"/>
        </w:rPr>
        <w:t>23</w:t>
      </w:r>
      <w:r w:rsidR="009C2A5A" w:rsidRPr="009C2A5A">
        <w:fldChar w:fldCharType="end"/>
      </w:r>
      <w:r w:rsidR="008C549C" w:rsidRPr="009C2A5A">
        <w:rPr>
          <w:color w:val="000000" w:themeColor="text1"/>
        </w:rPr>
        <w:t xml:space="preserve"> </w:t>
      </w:r>
      <w:r w:rsidR="00351D75" w:rsidRPr="009C2A5A">
        <w:rPr>
          <w:color w:val="000000" w:themeColor="text1"/>
          <w:lang w:val="en-GB"/>
        </w:rPr>
        <w:t>above</w:t>
      </w:r>
      <w:r w:rsidR="00351D75" w:rsidRPr="00A565BA">
        <w:rPr>
          <w:color w:val="000000" w:themeColor="text1"/>
        </w:rPr>
        <w:t>).</w:t>
      </w:r>
    </w:p>
    <w:p w:rsidR="00B921A4" w:rsidRPr="00A565BA" w:rsidRDefault="00B921A4" w:rsidP="00BE6362">
      <w:pPr>
        <w:tabs>
          <w:tab w:val="num" w:pos="450"/>
        </w:tabs>
        <w:suppressAutoHyphens/>
        <w:autoSpaceDE w:val="0"/>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A565BA">
        <w:rPr>
          <w:color w:val="000000" w:themeColor="text1"/>
        </w:rPr>
        <w:t>provide</w:t>
      </w:r>
      <w:proofErr w:type="gramEnd"/>
      <w:r w:rsidRPr="00A565BA">
        <w:rPr>
          <w:color w:val="000000" w:themeColor="text1"/>
        </w:rPr>
        <w:t xml:space="preserve"> the necessary assistance including, in particular, in the release of documents and information relevant to the complaint</w:t>
      </w:r>
      <w:r w:rsidR="003E24CD" w:rsidRPr="00A565BA">
        <w:rPr>
          <w:color w:val="000000" w:themeColor="text1"/>
        </w:rPr>
        <w:t>s</w:t>
      </w:r>
      <w:r w:rsidRPr="00A565BA">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565BA">
        <w:rPr>
          <w:rStyle w:val="s7d2086b4"/>
          <w:i/>
          <w:color w:val="000000" w:themeColor="text1"/>
        </w:rPr>
        <w:t>Çelikbilek</w:t>
      </w:r>
      <w:r w:rsidR="00A04837" w:rsidRPr="00A565BA">
        <w:rPr>
          <w:rStyle w:val="s7d2086b4"/>
          <w:i/>
          <w:color w:val="000000" w:themeColor="text1"/>
        </w:rPr>
        <w:t xml:space="preserve"> </w:t>
      </w:r>
      <w:r w:rsidRPr="00A565BA">
        <w:rPr>
          <w:i/>
          <w:color w:val="000000" w:themeColor="text1"/>
        </w:rPr>
        <w:t>v. Turkey</w:t>
      </w:r>
      <w:r w:rsidRPr="00A565BA">
        <w:rPr>
          <w:color w:val="000000" w:themeColor="text1"/>
        </w:rPr>
        <w:t xml:space="preserve">, </w:t>
      </w:r>
      <w:r w:rsidRPr="00A565BA">
        <w:rPr>
          <w:color w:val="000000" w:themeColor="text1"/>
          <w:lang w:eastAsia="nl-BE"/>
        </w:rPr>
        <w:t>no. 27693/95, judgment of 31 May 2005</w:t>
      </w:r>
      <w:r w:rsidRPr="00A565BA">
        <w:rPr>
          <w:i/>
          <w:iCs/>
          <w:color w:val="000000" w:themeColor="text1"/>
          <w:lang w:eastAsia="nl-BE"/>
        </w:rPr>
        <w:t>,</w:t>
      </w:r>
      <w:r w:rsidRPr="00A565BA">
        <w:rPr>
          <w:iCs/>
          <w:color w:val="000000" w:themeColor="text1"/>
          <w:lang w:eastAsia="nl-BE"/>
        </w:rPr>
        <w:t xml:space="preserve"> § 56).</w:t>
      </w:r>
    </w:p>
    <w:p w:rsidR="00ED2DB4" w:rsidRPr="00A565BA" w:rsidRDefault="00ED2DB4" w:rsidP="00BE6362">
      <w:pPr>
        <w:pStyle w:val="ListParagraph"/>
        <w:tabs>
          <w:tab w:val="num" w:pos="450"/>
        </w:tabs>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A565BA">
        <w:rPr>
          <w:i/>
          <w:color w:val="000000" w:themeColor="text1"/>
        </w:rPr>
        <w:t>per se</w:t>
      </w:r>
      <w:r w:rsidRPr="00A565BA">
        <w:rPr>
          <w:color w:val="000000" w:themeColor="text1"/>
        </w:rPr>
        <w:t xml:space="preserve"> issues under Article 2. The Panel likewise notes that UNMIK has not provided any explanation as to why the documentation may be incomplete, nor with respect to which parts. </w:t>
      </w:r>
    </w:p>
    <w:p w:rsidR="00ED2DB4" w:rsidRPr="00A565BA" w:rsidRDefault="00ED2DB4" w:rsidP="00BE6362">
      <w:pPr>
        <w:pStyle w:val="ListParagraph"/>
        <w:tabs>
          <w:tab w:val="num" w:pos="450"/>
        </w:tabs>
        <w:ind w:left="450" w:hanging="450"/>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The Panel itself is not in the position to verify the completeness of the investigative files received. The Panel will therefore assess the merits of the complaint</w:t>
      </w:r>
      <w:r w:rsidR="003E24CD" w:rsidRPr="00A565BA">
        <w:rPr>
          <w:color w:val="000000" w:themeColor="text1"/>
        </w:rPr>
        <w:t>s</w:t>
      </w:r>
      <w:r w:rsidRPr="00A565BA">
        <w:rPr>
          <w:color w:val="000000" w:themeColor="text1"/>
        </w:rPr>
        <w:t xml:space="preserve"> on the basis of documents made available (in this sense, see ECtHR, </w:t>
      </w:r>
      <w:r w:rsidRPr="00A565BA">
        <w:rPr>
          <w:i/>
          <w:color w:val="000000" w:themeColor="text1"/>
        </w:rPr>
        <w:t>Tsechoyev v. Russia</w:t>
      </w:r>
      <w:r w:rsidRPr="00A565BA">
        <w:rPr>
          <w:color w:val="000000" w:themeColor="text1"/>
        </w:rPr>
        <w:t>, no. 39358/05, judgment of</w:t>
      </w:r>
      <w:r w:rsidR="00572BFF" w:rsidRPr="00A565BA">
        <w:rPr>
          <w:color w:val="000000" w:themeColor="text1"/>
        </w:rPr>
        <w:t xml:space="preserve"> </w:t>
      </w:r>
      <w:r w:rsidRPr="00A565BA">
        <w:rPr>
          <w:color w:val="000000" w:themeColor="text1"/>
        </w:rPr>
        <w:t xml:space="preserve">15 March 2011, § 146). </w:t>
      </w:r>
    </w:p>
    <w:p w:rsidR="001A6816" w:rsidRPr="00A565BA" w:rsidRDefault="001A6816" w:rsidP="00BE6362">
      <w:pPr>
        <w:tabs>
          <w:tab w:val="num" w:pos="450"/>
        </w:tabs>
        <w:ind w:left="450" w:hanging="450"/>
        <w:contextualSpacing/>
        <w:jc w:val="both"/>
        <w:rPr>
          <w:i/>
          <w:color w:val="000000" w:themeColor="text1"/>
          <w:lang w:val="en-GB"/>
        </w:rPr>
      </w:pPr>
    </w:p>
    <w:p w:rsidR="001A6816" w:rsidRPr="00A565BA" w:rsidRDefault="001A6816" w:rsidP="00F0555D">
      <w:pPr>
        <w:pStyle w:val="ListParagraph"/>
        <w:numPr>
          <w:ilvl w:val="0"/>
          <w:numId w:val="5"/>
        </w:numPr>
        <w:tabs>
          <w:tab w:val="num" w:pos="270"/>
        </w:tabs>
        <w:suppressAutoHyphens w:val="0"/>
        <w:ind w:left="270" w:hanging="270"/>
        <w:contextualSpacing/>
        <w:jc w:val="both"/>
        <w:rPr>
          <w:i/>
          <w:color w:val="000000" w:themeColor="text1"/>
          <w:lang w:val="en-GB"/>
        </w:rPr>
      </w:pPr>
      <w:r w:rsidRPr="00F0555D">
        <w:rPr>
          <w:i/>
          <w:lang w:val="en-GB" w:eastAsia="en-US"/>
        </w:rPr>
        <w:t>General</w:t>
      </w:r>
      <w:r w:rsidRPr="00A565BA">
        <w:rPr>
          <w:i/>
          <w:color w:val="000000" w:themeColor="text1"/>
          <w:lang w:val="en-GB"/>
        </w:rPr>
        <w:t xml:space="preserve"> principles concerning the obligation to conduct an effective investigation under Article 2</w:t>
      </w:r>
    </w:p>
    <w:p w:rsidR="001A6816" w:rsidRPr="00A565BA" w:rsidRDefault="001A6816" w:rsidP="00BE6362">
      <w:pPr>
        <w:pStyle w:val="ListParagraph"/>
        <w:tabs>
          <w:tab w:val="num" w:pos="450"/>
        </w:tabs>
        <w:ind w:left="450" w:hanging="450"/>
        <w:rPr>
          <w:color w:val="000000" w:themeColor="text1"/>
          <w:lang w:val="en-GB"/>
        </w:rPr>
      </w:pPr>
    </w:p>
    <w:p w:rsidR="00DC0DDD" w:rsidRPr="00A565BA" w:rsidRDefault="001D6AF7" w:rsidP="003D4233">
      <w:pPr>
        <w:numPr>
          <w:ilvl w:val="0"/>
          <w:numId w:val="2"/>
        </w:numPr>
        <w:tabs>
          <w:tab w:val="clear" w:pos="360"/>
          <w:tab w:val="num" w:pos="450"/>
        </w:tabs>
        <w:ind w:left="450" w:hanging="450"/>
        <w:jc w:val="both"/>
        <w:rPr>
          <w:i/>
          <w:color w:val="000000" w:themeColor="text1"/>
          <w:lang w:val="en-GB"/>
        </w:rPr>
      </w:pPr>
      <w:bookmarkStart w:id="56" w:name="_Ref348512105"/>
      <w:r w:rsidRPr="00A565BA">
        <w:rPr>
          <w:color w:val="000000" w:themeColor="text1"/>
          <w:lang w:val="en-GB"/>
        </w:rPr>
        <w:t>T</w:t>
      </w:r>
      <w:r w:rsidR="00DC0DDD" w:rsidRPr="00A565BA">
        <w:rPr>
          <w:color w:val="000000" w:themeColor="text1"/>
          <w:lang w:val="en-GB"/>
        </w:rPr>
        <w:t xml:space="preserve">he Panel notes that the positive obligation to investigate disappearances is widely accepted in international human rights law since at least the case of the Inter-American Court of Human Rights </w:t>
      </w:r>
      <w:r w:rsidR="00DC0DDD" w:rsidRPr="00A565BA">
        <w:rPr>
          <w:i/>
          <w:color w:val="000000" w:themeColor="text1"/>
          <w:lang w:val="en-GB"/>
        </w:rPr>
        <w:t xml:space="preserve">Velásquez-Rodríguez </w:t>
      </w:r>
      <w:r w:rsidR="00DC0DDD" w:rsidRPr="00A565BA">
        <w:rPr>
          <w:color w:val="000000" w:themeColor="text1"/>
          <w:lang w:val="en-GB"/>
        </w:rPr>
        <w:t xml:space="preserve">(see Inter-American Court of Human Rights (IACtHR), </w:t>
      </w:r>
      <w:r w:rsidR="00DC0DDD" w:rsidRPr="00A565BA">
        <w:rPr>
          <w:i/>
          <w:color w:val="000000" w:themeColor="text1"/>
          <w:lang w:val="en-GB"/>
        </w:rPr>
        <w:t>Velásquez-Rodríguez v. Honduras</w:t>
      </w:r>
      <w:r w:rsidR="00DC0DDD" w:rsidRPr="00A565BA">
        <w:rPr>
          <w:color w:val="000000" w:themeColor="text1"/>
          <w:lang w:val="en-GB"/>
        </w:rPr>
        <w:t xml:space="preserve">, judgment of 29 July 1988, </w:t>
      </w:r>
      <w:proofErr w:type="gramStart"/>
      <w:r w:rsidR="00DC0DDD" w:rsidRPr="00A565BA">
        <w:rPr>
          <w:color w:val="000000" w:themeColor="text1"/>
          <w:lang w:val="en-GB"/>
        </w:rPr>
        <w:t>Series</w:t>
      </w:r>
      <w:proofErr w:type="gramEnd"/>
      <w:r w:rsidR="00DC0DDD" w:rsidRPr="00A565BA">
        <w:rPr>
          <w:color w:val="000000" w:themeColor="text1"/>
          <w:lang w:val="en-GB"/>
        </w:rPr>
        <w:t xml:space="preserve"> C No. 4). The positive obligation has also been stated by the HRC as stemming from Article 6 (right to </w:t>
      </w:r>
      <w:r w:rsidR="00DC0DDD" w:rsidRPr="00A565BA">
        <w:rPr>
          <w:color w:val="000000" w:themeColor="text1"/>
        </w:rPr>
        <w:t>life</w:t>
      </w:r>
      <w:r w:rsidR="00DC0DDD" w:rsidRPr="00A565BA">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A565BA">
        <w:rPr>
          <w:i/>
          <w:color w:val="000000" w:themeColor="text1"/>
          <w:lang w:val="en-GB"/>
        </w:rPr>
        <w:t>Mohamed El Awani, v. Libyan Arab Jamahiriya</w:t>
      </w:r>
      <w:r w:rsidR="00DC0DDD" w:rsidRPr="00A565BA">
        <w:rPr>
          <w:color w:val="000000" w:themeColor="text1"/>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w:t>
      </w:r>
      <w:r w:rsidR="00DC0DDD" w:rsidRPr="00A565BA">
        <w:rPr>
          <w:color w:val="000000" w:themeColor="text1"/>
          <w:lang w:val="en-GB"/>
        </w:rPr>
        <w:lastRenderedPageBreak/>
        <w:t>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6"/>
    </w:p>
    <w:p w:rsidR="00DC0DDD" w:rsidRPr="00A565BA" w:rsidRDefault="00DC0DDD" w:rsidP="00BE6362">
      <w:pPr>
        <w:pStyle w:val="ListParagraph"/>
        <w:tabs>
          <w:tab w:val="num" w:pos="450"/>
        </w:tabs>
        <w:ind w:left="450" w:hanging="450"/>
        <w:jc w:val="both"/>
        <w:rPr>
          <w:color w:val="000000" w:themeColor="text1"/>
          <w:lang w:val="en-GB" w:eastAsia="en-US"/>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7" w:name="_Ref347561805"/>
      <w:r w:rsidRPr="00A565BA">
        <w:rPr>
          <w:color w:val="000000" w:themeColor="text1"/>
          <w:lang w:val="en-GB"/>
        </w:rPr>
        <w:t>In or</w:t>
      </w:r>
      <w:r w:rsidR="00B864E3" w:rsidRPr="00A565BA">
        <w:rPr>
          <w:color w:val="000000" w:themeColor="text1"/>
          <w:lang w:val="en-GB"/>
        </w:rPr>
        <w:t>der to address the complainants’</w:t>
      </w:r>
      <w:r w:rsidRPr="00A565BA">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A565BA">
        <w:rPr>
          <w:color w:val="000000" w:themeColor="text1"/>
        </w:rPr>
        <w:t>jurisdiction</w:t>
      </w:r>
      <w:r w:rsidRPr="00A565BA">
        <w:rPr>
          <w:color w:val="000000" w:themeColor="text1"/>
          <w:lang w:val="en-GB"/>
        </w:rPr>
        <w:t xml:space="preserve"> the rights and freedoms defined in [the] Convention”, requires by implication that there should be some form of effective official investigation when individuals have been killed (see, </w:t>
      </w:r>
      <w:r w:rsidRPr="00A565BA">
        <w:rPr>
          <w:i/>
          <w:color w:val="000000" w:themeColor="text1"/>
          <w:lang w:val="en-GB"/>
        </w:rPr>
        <w:t>mutatis mutandis</w:t>
      </w:r>
      <w:r w:rsidRPr="00A565BA">
        <w:rPr>
          <w:color w:val="000000" w:themeColor="text1"/>
          <w:lang w:val="en-GB"/>
        </w:rPr>
        <w:t xml:space="preserve">, ECtHR, </w:t>
      </w:r>
      <w:r w:rsidRPr="00A565BA">
        <w:rPr>
          <w:i/>
          <w:color w:val="000000" w:themeColor="text1"/>
          <w:lang w:val="en-GB"/>
        </w:rPr>
        <w:t>McCann and Others v. the United Kingdom</w:t>
      </w:r>
      <w:r w:rsidRPr="00A565BA">
        <w:rPr>
          <w:color w:val="000000" w:themeColor="text1"/>
          <w:lang w:val="en-GB"/>
        </w:rPr>
        <w:t xml:space="preserve">, judgment of 27 September 1995, § 161, Series A no. 324; and ECtHR, </w:t>
      </w:r>
      <w:r w:rsidRPr="00A565BA">
        <w:rPr>
          <w:i/>
          <w:color w:val="000000" w:themeColor="text1"/>
          <w:lang w:val="en-GB"/>
        </w:rPr>
        <w:t>Kaya v. Turkey</w:t>
      </w:r>
      <w:r w:rsidRPr="00A565BA">
        <w:rPr>
          <w:color w:val="000000" w:themeColor="text1"/>
          <w:lang w:val="en-GB"/>
        </w:rPr>
        <w:t xml:space="preserve">, judgment of 19 February 1998, § 105, </w:t>
      </w:r>
      <w:r w:rsidRPr="00A565BA">
        <w:rPr>
          <w:i/>
          <w:iCs/>
          <w:color w:val="000000" w:themeColor="text1"/>
          <w:lang w:val="en-GB"/>
        </w:rPr>
        <w:t xml:space="preserve">Reports of Judgments and Decisions </w:t>
      </w:r>
      <w:r w:rsidRPr="00A565BA">
        <w:rPr>
          <w:color w:val="000000" w:themeColor="text1"/>
          <w:lang w:val="en-GB"/>
        </w:rPr>
        <w:t xml:space="preserve">1998-I; see also ECtHR, </w:t>
      </w:r>
      <w:r w:rsidRPr="00A565BA">
        <w:rPr>
          <w:i/>
          <w:color w:val="000000" w:themeColor="text1"/>
          <w:lang w:val="en-GB"/>
        </w:rPr>
        <w:t>Jasinskis v. Latvia</w:t>
      </w:r>
      <w:r w:rsidRPr="00A565BA">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A565BA">
        <w:rPr>
          <w:i/>
          <w:color w:val="000000" w:themeColor="text1"/>
          <w:lang w:val="en-GB"/>
        </w:rPr>
        <w:t>Kolevi v. Bulgaria</w:t>
      </w:r>
      <w:r w:rsidRPr="00A565BA">
        <w:rPr>
          <w:color w:val="000000" w:themeColor="text1"/>
          <w:lang w:val="en-GB"/>
        </w:rPr>
        <w:t>, no. 1108/02, judgment of 5 November 2009, § 191).</w:t>
      </w:r>
      <w:bookmarkEnd w:id="57"/>
    </w:p>
    <w:p w:rsidR="00DC0DDD" w:rsidRPr="00A565BA"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58" w:name="_Ref401160192"/>
      <w:r w:rsidRPr="00A565BA">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A565BA">
        <w:rPr>
          <w:color w:val="000000" w:themeColor="text1"/>
        </w:rPr>
        <w:t>disappearance</w:t>
      </w:r>
      <w:r w:rsidRPr="00A565BA">
        <w:rPr>
          <w:color w:val="000000" w:themeColor="text1"/>
          <w:lang w:val="en-GB"/>
        </w:rPr>
        <w:t xml:space="preserve"> was caused by an agent of the State (see ECtHR [GC], </w:t>
      </w:r>
      <w:r w:rsidRPr="00A565BA">
        <w:rPr>
          <w:i/>
          <w:color w:val="000000" w:themeColor="text1"/>
          <w:lang w:val="en-GB"/>
        </w:rPr>
        <w:t>Varnava and Others v. Turkey</w:t>
      </w:r>
      <w:r w:rsidRPr="00A565BA">
        <w:rPr>
          <w:color w:val="000000" w:themeColor="text1"/>
          <w:lang w:val="en-GB"/>
        </w:rPr>
        <w:t>,</w:t>
      </w:r>
      <w:r w:rsidR="00726F40" w:rsidRPr="00A565BA">
        <w:rPr>
          <w:color w:val="000000" w:themeColor="text1"/>
          <w:lang w:val="en-GB"/>
        </w:rPr>
        <w:t xml:space="preserve"> </w:t>
      </w:r>
      <w:r w:rsidR="0026408E" w:rsidRPr="00A565BA">
        <w:rPr>
          <w:color w:val="000000" w:themeColor="text1"/>
          <w:lang w:val="en-GB"/>
        </w:rPr>
        <w:t xml:space="preserve">cited </w:t>
      </w:r>
      <w:r w:rsidR="0026408E" w:rsidRPr="009C2A5A">
        <w:rPr>
          <w:color w:val="000000" w:themeColor="text1"/>
          <w:lang w:val="en-GB"/>
        </w:rPr>
        <w:t xml:space="preserve">in § </w:t>
      </w:r>
      <w:r w:rsidR="009C2A5A" w:rsidRPr="009C2A5A">
        <w:fldChar w:fldCharType="begin"/>
      </w:r>
      <w:r w:rsidR="009C2A5A" w:rsidRPr="009C2A5A">
        <w:instrText xml:space="preserve"> REF _Ref398312565 \r \h  \* MERGEFORMAT </w:instrText>
      </w:r>
      <w:r w:rsidR="009C2A5A" w:rsidRPr="009C2A5A">
        <w:fldChar w:fldCharType="separate"/>
      </w:r>
      <w:r w:rsidR="009C2A5A" w:rsidRPr="009C2A5A">
        <w:rPr>
          <w:color w:val="000000" w:themeColor="text1"/>
          <w:lang w:val="en-GB"/>
        </w:rPr>
        <w:t>131</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136</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nos 10865/09, 45886/07 and 32431/08, judgment of 17 September 2014, § 317</w:t>
      </w:r>
      <w:r w:rsidRPr="00A565BA">
        <w:rPr>
          <w:color w:val="000000" w:themeColor="text1"/>
          <w:lang w:val="en-GB"/>
        </w:rPr>
        <w:t>).</w:t>
      </w:r>
      <w:bookmarkEnd w:id="58"/>
    </w:p>
    <w:p w:rsidR="00641418" w:rsidRDefault="00641418" w:rsidP="00641418">
      <w:pPr>
        <w:pStyle w:val="ListParagrap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9" w:name="_Ref346723791"/>
      <w:r w:rsidRPr="00A565BA">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xml:space="preserve">, no. 21689/93, judgment of 6 April 2004, § 310; see also ECtHR, </w:t>
      </w:r>
      <w:r w:rsidRPr="00A565BA">
        <w:rPr>
          <w:i/>
          <w:color w:val="000000" w:themeColor="text1"/>
          <w:lang w:val="en-GB"/>
        </w:rPr>
        <w:t>Isayeva v. Russia</w:t>
      </w:r>
      <w:r w:rsidRPr="00A565BA">
        <w:rPr>
          <w:color w:val="000000" w:themeColor="text1"/>
          <w:lang w:val="en-GB"/>
        </w:rPr>
        <w:t>, no. 57950/00, judgment of 24 February 2005, § 210</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cited above, § 321</w:t>
      </w:r>
      <w:r w:rsidRPr="00A565BA">
        <w:rPr>
          <w:color w:val="000000" w:themeColor="text1"/>
          <w:lang w:val="en-GB"/>
        </w:rPr>
        <w:t>).</w:t>
      </w:r>
      <w:bookmarkEnd w:id="59"/>
    </w:p>
    <w:p w:rsidR="00DC0DDD" w:rsidRPr="00A565BA" w:rsidRDefault="00DC0DDD"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0" w:name="_Ref346724174"/>
      <w:r w:rsidRPr="00A565BA">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A565BA">
        <w:rPr>
          <w:i/>
          <w:color w:val="000000" w:themeColor="text1"/>
          <w:lang w:val="en-GB"/>
        </w:rPr>
        <w:t>, 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191; see also ECtHR, </w:t>
      </w:r>
      <w:r w:rsidRPr="00A565BA">
        <w:rPr>
          <w:i/>
          <w:color w:val="000000" w:themeColor="text1"/>
          <w:lang w:val="en-GB"/>
        </w:rPr>
        <w:t>Palić v. Bosnia and Herzegovina</w:t>
      </w:r>
      <w:r w:rsidRPr="00A565BA">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w:t>
      </w:r>
      <w:r w:rsidRPr="00A565BA">
        <w:rPr>
          <w:color w:val="000000" w:themeColor="text1"/>
          <w:lang w:val="en-GB"/>
        </w:rPr>
        <w:lastRenderedPageBreak/>
        <w:t xml:space="preserve">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cited above, at § 312; and</w:t>
      </w:r>
      <w:r w:rsidR="002E1AC9" w:rsidRPr="00A565BA">
        <w:rPr>
          <w:color w:val="000000" w:themeColor="text1"/>
          <w:lang w:val="en-GB"/>
        </w:rPr>
        <w:t xml:space="preserve"> </w:t>
      </w:r>
      <w:r w:rsidRPr="00A565BA">
        <w:rPr>
          <w:i/>
          <w:color w:val="000000" w:themeColor="text1"/>
          <w:lang w:val="en-GB"/>
        </w:rPr>
        <w:t>Isayeva v. Russia</w:t>
      </w:r>
      <w:r w:rsidRPr="00A565BA">
        <w:rPr>
          <w:color w:val="000000" w:themeColor="text1"/>
          <w:lang w:val="en-GB"/>
        </w:rPr>
        <w:t xml:space="preserve">, </w:t>
      </w:r>
      <w:r w:rsidR="00A04837" w:rsidRPr="00A565BA">
        <w:rPr>
          <w:color w:val="000000" w:themeColor="text1"/>
          <w:lang w:val="en-GB"/>
        </w:rPr>
        <w:t>cited above,</w:t>
      </w:r>
      <w:r w:rsidRPr="00A565BA">
        <w:rPr>
          <w:color w:val="000000" w:themeColor="text1"/>
          <w:lang w:val="en-GB"/>
        </w:rPr>
        <w:t xml:space="preserve"> at § 212).</w:t>
      </w:r>
      <w:bookmarkEnd w:id="60"/>
    </w:p>
    <w:p w:rsidR="00500351" w:rsidRDefault="00500351" w:rsidP="00500351">
      <w:pPr>
        <w:ind w:left="450"/>
        <w:jc w:val="both"/>
        <w:rPr>
          <w:highlight w:val="yellow"/>
        </w:rPr>
      </w:pPr>
    </w:p>
    <w:p w:rsidR="00500351" w:rsidRPr="0013465C" w:rsidRDefault="00BF3A1D" w:rsidP="00500351">
      <w:pPr>
        <w:numPr>
          <w:ilvl w:val="0"/>
          <w:numId w:val="2"/>
        </w:numPr>
        <w:tabs>
          <w:tab w:val="clear" w:pos="360"/>
          <w:tab w:val="num" w:pos="450"/>
        </w:tabs>
        <w:ind w:left="450" w:hanging="450"/>
        <w:jc w:val="both"/>
      </w:pPr>
      <w:bookmarkStart w:id="61" w:name="_Ref403476081"/>
      <w:r w:rsidRPr="0013465C">
        <w:t>T</w:t>
      </w:r>
      <w:r w:rsidR="00500351" w:rsidRPr="0013465C">
        <w:t xml:space="preserve">he </w:t>
      </w:r>
      <w:r w:rsidR="00F50FCD" w:rsidRPr="0013465C">
        <w:rPr>
          <w:color w:val="000000" w:themeColor="text1"/>
          <w:lang w:val="en-GB"/>
        </w:rPr>
        <w:t>European Court</w:t>
      </w:r>
      <w:r w:rsidRPr="0013465C">
        <w:rPr>
          <w:color w:val="000000" w:themeColor="text1"/>
          <w:lang w:val="en-GB"/>
        </w:rPr>
        <w:t xml:space="preserve"> has also</w:t>
      </w:r>
      <w:r w:rsidR="00F50FCD" w:rsidRPr="0013465C">
        <w:t xml:space="preserve"> stressed that </w:t>
      </w:r>
      <w:r w:rsidR="00500351" w:rsidRPr="0013465C">
        <w:rPr>
          <w:color w:val="000000" w:themeColor="text1"/>
          <w:lang w:val="en-GB"/>
        </w:rPr>
        <w:t>“</w:t>
      </w:r>
      <w:r w:rsidR="00500351" w:rsidRPr="0013465C">
        <w:t xml:space="preserve">The requirements of Article 2 go beyond the stage of </w:t>
      </w:r>
      <w:r w:rsidR="00500351" w:rsidRPr="0013465C">
        <w:rPr>
          <w:color w:val="000000" w:themeColor="text1"/>
          <w:lang w:val="en-GB" w:eastAsia="ar-SA"/>
        </w:rPr>
        <w:t>the</w:t>
      </w:r>
      <w:r w:rsidR="00500351" w:rsidRPr="0013465C">
        <w:t xml:space="preserve"> official investigation, where this has led to the institution of proceedings in the national courts: the proceedings as a whole, including the trial stage, must satisfy the requirements of the positive obligation to protect lives through the law. While there is no absolute obligation for all prosecutions to result in conviction or in a particular sentence, the national courts should not under any circumstances be prepared to allow offences concerning violent deaths to go unpunished</w:t>
      </w:r>
      <w:r w:rsidR="0013465C">
        <w:t>” (</w:t>
      </w:r>
      <w:r w:rsidR="00500351" w:rsidRPr="0013465C">
        <w:t xml:space="preserve">ECtHR, </w:t>
      </w:r>
      <w:r w:rsidR="00500351" w:rsidRPr="0013465C">
        <w:rPr>
          <w:i/>
        </w:rPr>
        <w:t>Jelić v. Croatia</w:t>
      </w:r>
      <w:r w:rsidR="00500351" w:rsidRPr="0013465C">
        <w:t>, no. 57856/11, judgment of 12 June 2014, § 77).</w:t>
      </w:r>
      <w:bookmarkEnd w:id="61"/>
    </w:p>
    <w:p w:rsidR="00500351" w:rsidRPr="0013465C" w:rsidRDefault="00500351" w:rsidP="00500351">
      <w:pPr>
        <w:ind w:left="450"/>
        <w:jc w:val="both"/>
      </w:pPr>
    </w:p>
    <w:p w:rsidR="00500351" w:rsidRPr="0013465C" w:rsidRDefault="00F50FCD" w:rsidP="00500351">
      <w:pPr>
        <w:numPr>
          <w:ilvl w:val="0"/>
          <w:numId w:val="2"/>
        </w:numPr>
        <w:tabs>
          <w:tab w:val="clear" w:pos="360"/>
          <w:tab w:val="num" w:pos="450"/>
        </w:tabs>
        <w:ind w:left="450" w:hanging="450"/>
        <w:jc w:val="both"/>
      </w:pPr>
      <w:r w:rsidRPr="0013465C">
        <w:t>T</w:t>
      </w:r>
      <w:r w:rsidR="00500351" w:rsidRPr="0013465C">
        <w:t xml:space="preserve">he ECtHR </w:t>
      </w:r>
      <w:r w:rsidRPr="0013465C">
        <w:t xml:space="preserve">further stated in this respect </w:t>
      </w:r>
      <w:r w:rsidR="00500351" w:rsidRPr="0013465C">
        <w:t xml:space="preserve">that </w:t>
      </w:r>
      <w:r w:rsidRPr="0013465C">
        <w:t>“</w:t>
      </w:r>
      <w:r w:rsidR="00500351" w:rsidRPr="0013465C">
        <w:t xml:space="preserve">among the main purposes of imposing criminal sanctions </w:t>
      </w:r>
      <w:proofErr w:type="gramStart"/>
      <w:r w:rsidR="00500351" w:rsidRPr="0013465C">
        <w:t>are</w:t>
      </w:r>
      <w:proofErr w:type="gramEnd"/>
      <w:r w:rsidR="00500351" w:rsidRPr="0013465C">
        <w:t xml:space="preserve"> retribution as a form of justice for victims and general deterrence aimed at prevention of new violations and upholding the rule of law. However, neither of these aims can be obtained without alleged perpetrators being brought to justice. Failure by the authorities to pursue the prosecution of the most probable direct perpetrators undermines the effectiveness of the criminal-law mechanism aimed at prevention, suppression and punishment of unlawful killings</w:t>
      </w:r>
      <w:r w:rsidR="0013465C">
        <w:t>”</w:t>
      </w:r>
      <w:r w:rsidR="00500351" w:rsidRPr="0013465C">
        <w:rPr>
          <w:sz w:val="23"/>
          <w:szCs w:val="23"/>
        </w:rPr>
        <w:t xml:space="preserve"> </w:t>
      </w:r>
      <w:r w:rsidR="0013465C">
        <w:t>(</w:t>
      </w:r>
      <w:r w:rsidR="00500351" w:rsidRPr="0013465C">
        <w:t xml:space="preserve">ECtHR, </w:t>
      </w:r>
      <w:r w:rsidR="00500351" w:rsidRPr="0013465C">
        <w:rPr>
          <w:i/>
        </w:rPr>
        <w:t>Jelić v. Croatia</w:t>
      </w:r>
      <w:r w:rsidR="00500351" w:rsidRPr="0013465C">
        <w:t xml:space="preserve">, </w:t>
      </w:r>
      <w:r w:rsidRPr="0013465C">
        <w:t>cited above, § 90</w:t>
      </w:r>
      <w:r w:rsidR="00500351" w:rsidRPr="0013465C">
        <w:t>).</w:t>
      </w:r>
    </w:p>
    <w:p w:rsidR="00DC0DDD" w:rsidRPr="0013465C" w:rsidRDefault="00DC0DDD" w:rsidP="00BE6362">
      <w:pPr>
        <w:tabs>
          <w:tab w:val="num" w:pos="450"/>
        </w:tabs>
        <w:suppressAutoHyphens/>
        <w:autoSpaceDE w:val="0"/>
        <w:ind w:left="450" w:hanging="450"/>
        <w:jc w:val="bot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62" w:name="_Ref401160939"/>
      <w:r w:rsidRPr="0013465C">
        <w:rPr>
          <w:color w:val="000000" w:themeColor="text1"/>
          <w:lang w:val="en-GB"/>
        </w:rPr>
        <w:t>In particular, the investigation’s conclusion must be based on thorough, objective and</w:t>
      </w:r>
      <w:r w:rsidRPr="00A565BA">
        <w:rPr>
          <w:color w:val="000000" w:themeColor="text1"/>
          <w:lang w:val="en-GB"/>
        </w:rPr>
        <w:t xml:space="preserve"> impartial analysis of all relevant elements. Failing to follow an obvious line of enquiry </w:t>
      </w:r>
      <w:r w:rsidRPr="00A565BA">
        <w:rPr>
          <w:color w:val="000000" w:themeColor="text1"/>
        </w:rPr>
        <w:t>undermines</w:t>
      </w:r>
      <w:r w:rsidRPr="00A565BA">
        <w:rPr>
          <w:color w:val="000000" w:themeColor="text1"/>
          <w:lang w:val="en-GB"/>
        </w:rPr>
        <w:t xml:space="preserve"> to a decisive extent the investigation’s ability to establish the circumstances of the case and the identity of those responsible (see ECtHR, </w:t>
      </w:r>
      <w:r w:rsidRPr="00A565BA">
        <w:rPr>
          <w:i/>
          <w:color w:val="000000" w:themeColor="text1"/>
          <w:lang w:val="en-GB"/>
        </w:rPr>
        <w:t>Kolevi v. Bulgaria</w:t>
      </w:r>
      <w:r w:rsidRPr="00A565BA">
        <w:rPr>
          <w:color w:val="000000" w:themeColor="text1"/>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color w:val="000000" w:themeColor="text1"/>
          <w:lang w:val="en-GB"/>
        </w:rPr>
        <w:t>169</w:t>
      </w:r>
      <w:r w:rsidR="009C2A5A">
        <w:fldChar w:fldCharType="end"/>
      </w:r>
      <w:r w:rsidR="00A04837" w:rsidRPr="00A565BA">
        <w:rPr>
          <w:color w:val="000000" w:themeColor="text1"/>
          <w:lang w:val="en-GB"/>
        </w:rPr>
        <w:t xml:space="preserve"> </w:t>
      </w:r>
      <w:r w:rsidRPr="00A565BA">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65BA">
        <w:rPr>
          <w:i/>
          <w:color w:val="000000" w:themeColor="text1"/>
          <w:lang w:val="en-GB"/>
        </w:rPr>
        <w:t>Velcea and Mazăre</w:t>
      </w:r>
      <w:r w:rsidR="00A04837" w:rsidRPr="00A565BA">
        <w:rPr>
          <w:i/>
          <w:color w:val="000000" w:themeColor="text1"/>
          <w:lang w:val="en-GB"/>
        </w:rPr>
        <w:t xml:space="preserve"> </w:t>
      </w:r>
      <w:r w:rsidRPr="00A565BA">
        <w:rPr>
          <w:i/>
          <w:color w:val="000000" w:themeColor="text1"/>
          <w:lang w:val="en-GB"/>
        </w:rPr>
        <w:t>v. Romania</w:t>
      </w:r>
      <w:r w:rsidRPr="00A565BA">
        <w:rPr>
          <w:color w:val="000000" w:themeColor="text1"/>
          <w:lang w:val="en-GB"/>
        </w:rPr>
        <w:t>, no. 64301/01, judgm</w:t>
      </w:r>
      <w:r w:rsidR="00304E22" w:rsidRPr="00A565BA">
        <w:rPr>
          <w:color w:val="000000" w:themeColor="text1"/>
          <w:lang w:val="en-GB"/>
        </w:rPr>
        <w:t>ent of 1 December 2009, § 105).</w:t>
      </w:r>
      <w:r w:rsidR="001C7357" w:rsidRPr="00A565BA">
        <w:rPr>
          <w:color w:val="000000" w:themeColor="text1"/>
          <w:lang w:val="en-GB"/>
        </w:rPr>
        <w:t xml:space="preserve"> At the same time, </w:t>
      </w:r>
      <w:r w:rsidR="001C7357" w:rsidRPr="00A565BA">
        <w:rPr>
          <w:rStyle w:val="sb8d990e2"/>
          <w:color w:val="000000" w:themeColor="text1"/>
        </w:rPr>
        <w:t xml:space="preserve">the authorities must always make a serious attempt to find out what happened and should not rely on hasty or ill-founded conclusions to close their investigation (see </w:t>
      </w:r>
      <w:r w:rsidR="001C7357" w:rsidRPr="00A565BA">
        <w:rPr>
          <w:color w:val="000000" w:themeColor="text1"/>
          <w:lang w:val="en-GB"/>
        </w:rPr>
        <w:t xml:space="preserve">ECtHR [GC], </w:t>
      </w:r>
      <w:r w:rsidR="001C7357" w:rsidRPr="00A565BA">
        <w:rPr>
          <w:i/>
          <w:iCs/>
          <w:color w:val="000000" w:themeColor="text1"/>
          <w:lang w:val="en-GB"/>
        </w:rPr>
        <w:t>El-Masri v. “the Former Yugoslav Republic of Macedonia”</w:t>
      </w:r>
      <w:r w:rsidR="001C7357" w:rsidRPr="00A565BA">
        <w:rPr>
          <w:color w:val="000000" w:themeColor="text1"/>
          <w:lang w:val="en-GB"/>
        </w:rPr>
        <w:t>, no. 39630/09, judgment of 13 December 2012, § 183</w:t>
      </w:r>
      <w:r w:rsidR="001C7357" w:rsidRPr="00A565BA">
        <w:rPr>
          <w:rStyle w:val="sb8d990e2"/>
          <w:color w:val="000000" w:themeColor="text1"/>
        </w:rPr>
        <w:t xml:space="preserve">; </w:t>
      </w:r>
      <w:r w:rsidR="001C7357" w:rsidRPr="00A565BA">
        <w:rPr>
          <w:color w:val="000000" w:themeColor="text1"/>
          <w:lang w:val="en-GB"/>
        </w:rPr>
        <w:t xml:space="preserve">ECtHR [GC], </w:t>
      </w:r>
      <w:r w:rsidR="001C7357" w:rsidRPr="00A565BA">
        <w:rPr>
          <w:i/>
          <w:color w:val="000000" w:themeColor="text1"/>
          <w:lang w:val="en-GB"/>
        </w:rPr>
        <w:t>Mocanu and Others v. Romania</w:t>
      </w:r>
      <w:r w:rsidR="001C7357"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1C7357" w:rsidRPr="00A565BA">
        <w:rPr>
          <w:color w:val="000000" w:themeColor="text1"/>
          <w:lang w:val="en-GB"/>
        </w:rPr>
        <w:t xml:space="preserve"> above, at § 322</w:t>
      </w:r>
      <w:r w:rsidR="001C7357" w:rsidRPr="00A565BA">
        <w:rPr>
          <w:rStyle w:val="sb8d990e2"/>
          <w:color w:val="000000" w:themeColor="text1"/>
        </w:rPr>
        <w:t>).</w:t>
      </w:r>
      <w:bookmarkEnd w:id="62"/>
    </w:p>
    <w:p w:rsidR="00304E22" w:rsidRPr="00A565BA" w:rsidRDefault="00304E22" w:rsidP="00304E22">
      <w:pPr>
        <w:pStyle w:val="ListParagraph"/>
        <w:rPr>
          <w:color w:val="000000" w:themeColor="text1"/>
          <w:lang w:val="en-GB"/>
        </w:rPr>
      </w:pPr>
    </w:p>
    <w:p w:rsidR="00304E22" w:rsidRPr="00A565BA" w:rsidRDefault="00304E22" w:rsidP="003D4233">
      <w:pPr>
        <w:numPr>
          <w:ilvl w:val="0"/>
          <w:numId w:val="2"/>
        </w:numPr>
        <w:tabs>
          <w:tab w:val="clear" w:pos="360"/>
          <w:tab w:val="num" w:pos="450"/>
        </w:tabs>
        <w:ind w:left="450" w:hanging="450"/>
        <w:jc w:val="both"/>
        <w:rPr>
          <w:color w:val="000000" w:themeColor="text1"/>
          <w:lang w:val="en-GB"/>
        </w:rPr>
      </w:pPr>
      <w:r w:rsidRPr="00A565BA">
        <w:rPr>
          <w:rStyle w:val="sb8d990e2"/>
          <w:color w:val="000000" w:themeColor="text1"/>
        </w:rPr>
        <w:t xml:space="preserve">A </w:t>
      </w:r>
      <w:r w:rsidRPr="00A565BA">
        <w:rPr>
          <w:color w:val="000000" w:themeColor="text1"/>
          <w:lang w:val="en-GB"/>
        </w:rPr>
        <w:t>requirement</w:t>
      </w:r>
      <w:r w:rsidRPr="00A565BA">
        <w:rPr>
          <w:rStyle w:val="sb8d990e2"/>
          <w:color w:val="000000" w:themeColor="text1"/>
        </w:rPr>
        <w:t xml:space="preserve"> of promptness and reasonable expedition is implicit in this context. Even where there may be obstacles or difficulties which prevent progress in an </w:t>
      </w:r>
      <w:bookmarkStart w:id="63" w:name="HIT98"/>
      <w:bookmarkEnd w:id="63"/>
      <w:r w:rsidRPr="00A565BA">
        <w:rPr>
          <w:rStyle w:val="sb8d990e2"/>
          <w:color w:val="000000" w:themeColor="text1"/>
        </w:rPr>
        <w:t xml:space="preserve">investigation in a particular situation, a </w:t>
      </w:r>
      <w:bookmarkStart w:id="64" w:name="HIT99"/>
      <w:bookmarkEnd w:id="64"/>
      <w:r w:rsidRPr="00A565BA">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A565BA">
        <w:rPr>
          <w:rStyle w:val="s6b621b36"/>
          <w:i/>
          <w:color w:val="000000" w:themeColor="text1"/>
        </w:rPr>
        <w:t xml:space="preserve">Paul and Audrey Edwards </w:t>
      </w:r>
      <w:r w:rsidRPr="00A565BA">
        <w:rPr>
          <w:i/>
          <w:color w:val="000000" w:themeColor="text1"/>
        </w:rPr>
        <w:t>v. the United Kingdom</w:t>
      </w:r>
      <w:r w:rsidRPr="00A565BA">
        <w:rPr>
          <w:color w:val="000000" w:themeColor="text1"/>
        </w:rPr>
        <w:t>, no. 46477/99, judgment of 14 March 2002, § 72, ECHR 2002</w:t>
      </w:r>
      <w:r w:rsidRPr="00A565BA">
        <w:rPr>
          <w:color w:val="000000" w:themeColor="text1"/>
        </w:rPr>
        <w:noBreakHyphen/>
        <w:t>II</w:t>
      </w:r>
      <w:r w:rsidR="008C774B" w:rsidRPr="00A565BA">
        <w:rPr>
          <w:color w:val="000000" w:themeColor="text1"/>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A565BA">
        <w:rPr>
          <w:color w:val="000000" w:themeColor="text1"/>
          <w:lang w:val="en-GB"/>
        </w:rPr>
        <w:t xml:space="preserve"> above, at § 323</w:t>
      </w:r>
      <w:r w:rsidRPr="00A565BA">
        <w:rPr>
          <w:color w:val="000000" w:themeColor="text1"/>
        </w:rPr>
        <w:t>).</w:t>
      </w:r>
    </w:p>
    <w:p w:rsidR="00DC0DDD" w:rsidRPr="00A565BA" w:rsidRDefault="00DC0DDD" w:rsidP="00BE6362">
      <w:pPr>
        <w:pStyle w:val="ListParagraph"/>
        <w:tabs>
          <w:tab w:val="num" w:pos="450"/>
        </w:tabs>
        <w:ind w:left="450" w:hanging="450"/>
        <w:rPr>
          <w:color w:val="000000" w:themeColor="text1"/>
          <w:lang w:val="en-GB"/>
        </w:rPr>
      </w:pPr>
    </w:p>
    <w:p w:rsidR="00A844E5" w:rsidRPr="00A565BA" w:rsidRDefault="00DC0DDD" w:rsidP="003D4233">
      <w:pPr>
        <w:numPr>
          <w:ilvl w:val="0"/>
          <w:numId w:val="2"/>
        </w:numPr>
        <w:tabs>
          <w:tab w:val="clear" w:pos="360"/>
          <w:tab w:val="num" w:pos="450"/>
        </w:tabs>
        <w:ind w:left="450" w:hanging="450"/>
        <w:jc w:val="both"/>
        <w:rPr>
          <w:color w:val="000000" w:themeColor="text1"/>
          <w:lang w:val="en-GB"/>
        </w:rPr>
      </w:pPr>
      <w:bookmarkStart w:id="65" w:name="_Ref342300077"/>
      <w:r w:rsidRPr="00A565BA">
        <w:rPr>
          <w:color w:val="000000" w:themeColor="text1"/>
          <w:lang w:val="en-GB"/>
        </w:rPr>
        <w:lastRenderedPageBreak/>
        <w:t xml:space="preserve">Specifically with regard to persons disappeared and later found dead, </w:t>
      </w:r>
      <w:r w:rsidR="001B245B" w:rsidRPr="00A565BA">
        <w:rPr>
          <w:color w:val="000000" w:themeColor="text1"/>
          <w:lang w:val="en-GB"/>
        </w:rPr>
        <w:t xml:space="preserve">which is not the situation in this case, </w:t>
      </w:r>
      <w:r w:rsidRPr="00A565BA">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65BA">
        <w:rPr>
          <w:i/>
          <w:color w:val="000000" w:themeColor="text1"/>
          <w:lang w:val="en-GB"/>
        </w:rPr>
        <w:t>Palić v. Bosnia and Herzegovina</w:t>
      </w:r>
      <w:r w:rsidRPr="00A565BA">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A565BA">
        <w:rPr>
          <w:color w:val="000000" w:themeColor="text1"/>
          <w:lang w:val="en-GB"/>
        </w:rPr>
        <w:t xml:space="preserve"> </w:t>
      </w:r>
      <w:r w:rsidRPr="00A565BA">
        <w:rPr>
          <w:color w:val="000000" w:themeColor="text1"/>
          <w:lang w:val="en-GB"/>
        </w:rPr>
        <w:t xml:space="preserve">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148, </w:t>
      </w:r>
      <w:r w:rsidRPr="00A565BA">
        <w:rPr>
          <w:i/>
          <w:color w:val="000000" w:themeColor="text1"/>
          <w:lang w:val="en-GB"/>
        </w:rPr>
        <w:t>Aslakhanova and Others v. Russia</w:t>
      </w:r>
      <w:r w:rsidRPr="00A565BA">
        <w:rPr>
          <w:color w:val="000000" w:themeColor="text1"/>
          <w:lang w:val="en-GB"/>
        </w:rPr>
        <w:t xml:space="preserve">, </w:t>
      </w:r>
      <w:r w:rsidR="000253E8" w:rsidRPr="00A565BA">
        <w:rPr>
          <w:color w:val="000000" w:themeColor="text1"/>
          <w:lang w:val="en-GB"/>
        </w:rPr>
        <w:t>nos</w:t>
      </w:r>
      <w:r w:rsidRPr="00A565BA">
        <w:rPr>
          <w:color w:val="000000" w:themeColor="text1"/>
          <w:lang w:val="en-GB"/>
        </w:rPr>
        <w:t xml:space="preserve"> 2944/06 and others, judgment of 18 December 2012, § 12</w:t>
      </w:r>
      <w:r w:rsidRPr="00A565BA">
        <w:rPr>
          <w:rFonts w:cs="CAGLHH+TimesNewRoman"/>
          <w:color w:val="000000" w:themeColor="text1"/>
          <w:lang w:val="en-GB"/>
        </w:rPr>
        <w:t>2</w:t>
      </w:r>
      <w:r w:rsidRPr="00A565BA">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65BA">
        <w:rPr>
          <w:i/>
          <w:color w:val="000000" w:themeColor="text1"/>
          <w:lang w:val="en-GB"/>
        </w:rPr>
        <w:t>Palić v. Bosnia and Herzegovina</w:t>
      </w:r>
      <w:r w:rsidRPr="00A565BA">
        <w:rPr>
          <w:color w:val="000000" w:themeColor="text1"/>
          <w:lang w:val="en-GB"/>
        </w:rPr>
        <w:t xml:space="preserve">, cited 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A565BA">
        <w:rPr>
          <w:i/>
          <w:color w:val="000000" w:themeColor="text1"/>
          <w:lang w:val="en-GB"/>
        </w:rPr>
        <w:t>Palić v. Bosnia and Herzegovina</w:t>
      </w:r>
      <w:r w:rsidRPr="00A565BA">
        <w:rPr>
          <w:color w:val="000000" w:themeColor="text1"/>
          <w:lang w:val="en-GB"/>
        </w:rPr>
        <w:t xml:space="preserve">, cited </w:t>
      </w:r>
      <w:r w:rsidR="00A04837" w:rsidRPr="009C2A5A">
        <w:rPr>
          <w:color w:val="000000" w:themeColor="text1"/>
          <w:lang w:val="en-GB"/>
        </w:rPr>
        <w:t xml:space="preserve">in § </w:t>
      </w:r>
      <w:r w:rsidR="009C2A5A" w:rsidRPr="009C2A5A">
        <w:fldChar w:fldCharType="begin"/>
      </w:r>
      <w:r w:rsidR="009C2A5A" w:rsidRPr="009C2A5A">
        <w:instrText xml:space="preserve"> REF _Ref346724174 \r \h  \* MERGEFORMAT </w:instrText>
      </w:r>
      <w:r w:rsidR="009C2A5A" w:rsidRPr="009C2A5A">
        <w:fldChar w:fldCharType="separate"/>
      </w:r>
      <w:r w:rsidR="009C2A5A" w:rsidRPr="009C2A5A">
        <w:rPr>
          <w:color w:val="000000" w:themeColor="text1"/>
          <w:lang w:val="en-GB"/>
        </w:rPr>
        <w:t>172</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64).</w:t>
      </w:r>
      <w:bookmarkStart w:id="66" w:name="_Ref347937166"/>
      <w:bookmarkEnd w:id="65"/>
    </w:p>
    <w:p w:rsidR="00A844E5" w:rsidRPr="00A565BA" w:rsidRDefault="00A844E5"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7" w:name="_Ref398312896"/>
      <w:r w:rsidRPr="00A565BA">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A565BA">
        <w:rPr>
          <w:color w:val="000000" w:themeColor="text1"/>
          <w:lang w:val="en-GB"/>
        </w:rPr>
        <w:t>accountability</w:t>
      </w:r>
      <w:r w:rsidRPr="00A565BA">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A565BA">
        <w:rPr>
          <w:i/>
          <w:color w:val="000000" w:themeColor="text1"/>
          <w:lang w:val="en-GB" w:eastAsia="ar-SA"/>
        </w:rPr>
        <w:t>Ahmet</w:t>
      </w:r>
      <w:r w:rsidR="00BB3617" w:rsidRPr="00A565BA">
        <w:rPr>
          <w:i/>
          <w:color w:val="000000" w:themeColor="text1"/>
          <w:lang w:val="en-GB" w:eastAsia="ar-SA"/>
        </w:rPr>
        <w:t xml:space="preserve"> </w:t>
      </w:r>
      <w:r w:rsidRPr="00A565BA">
        <w:rPr>
          <w:i/>
          <w:color w:val="000000" w:themeColor="text1"/>
          <w:lang w:val="en-GB" w:eastAsia="ar-SA"/>
        </w:rPr>
        <w:t>Özkan and Others</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above, at §§ 311</w:t>
      </w:r>
      <w:r w:rsidRPr="00A565BA">
        <w:rPr>
          <w:color w:val="000000" w:themeColor="text1"/>
          <w:lang w:val="en-GB" w:eastAsia="ar-SA"/>
        </w:rPr>
        <w:noBreakHyphen/>
        <w:t xml:space="preserve">314; ECtHR, </w:t>
      </w:r>
      <w:r w:rsidRPr="00A565BA">
        <w:rPr>
          <w:i/>
          <w:color w:val="000000" w:themeColor="text1"/>
          <w:lang w:val="en-GB" w:eastAsia="ar-SA"/>
        </w:rPr>
        <w:t>Isayeva v. Russia</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 xml:space="preserve">above, at §§ 211-214 and the cases cited therein; ECtHR [GC], </w:t>
      </w:r>
      <w:r w:rsidRPr="00A565BA">
        <w:rPr>
          <w:i/>
          <w:color w:val="000000" w:themeColor="text1"/>
          <w:lang w:val="en-GB" w:eastAsia="ar-SA"/>
        </w:rPr>
        <w:t>Al-Skeini and Others v. the United Kingdom</w:t>
      </w:r>
      <w:r w:rsidRPr="00A565BA">
        <w:rPr>
          <w:color w:val="000000" w:themeColor="text1"/>
          <w:lang w:val="en-GB" w:eastAsia="ar-SA"/>
        </w:rPr>
        <w:t>, judgment of 7 July 2011, no. 55721/07, § 167, ECHR 2011</w:t>
      </w:r>
      <w:r w:rsidR="008C774B" w:rsidRPr="00A565BA">
        <w:rPr>
          <w:color w:val="000000" w:themeColor="text1"/>
          <w:lang w:val="en-GB" w:eastAsia="ar-SA"/>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F41BA" w:rsidRPr="00A565BA">
        <w:rPr>
          <w:color w:val="000000" w:themeColor="text1"/>
          <w:lang w:val="en-GB"/>
        </w:rPr>
        <w:fldChar w:fldCharType="begin"/>
      </w:r>
      <w:r w:rsidR="008C774B" w:rsidRPr="00A565BA">
        <w:rPr>
          <w:color w:val="000000" w:themeColor="text1"/>
          <w:lang w:val="en-GB"/>
        </w:rPr>
        <w:instrText xml:space="preserve"> REF _Ref401160192 \r \h </w:instrText>
      </w:r>
      <w:r w:rsidR="009F41BA" w:rsidRPr="00A565BA">
        <w:rPr>
          <w:color w:val="000000" w:themeColor="text1"/>
          <w:lang w:val="en-GB"/>
        </w:rPr>
      </w:r>
      <w:r w:rsidR="009F41BA" w:rsidRPr="00A565BA">
        <w:rPr>
          <w:color w:val="000000" w:themeColor="text1"/>
          <w:lang w:val="en-GB"/>
        </w:rPr>
        <w:fldChar w:fldCharType="separate"/>
      </w:r>
      <w:r w:rsidR="009C2A5A">
        <w:rPr>
          <w:color w:val="000000" w:themeColor="text1"/>
          <w:lang w:val="en-GB"/>
        </w:rPr>
        <w:t>170</w:t>
      </w:r>
      <w:r w:rsidR="009F41BA" w:rsidRPr="00A565BA">
        <w:rPr>
          <w:color w:val="000000" w:themeColor="text1"/>
          <w:lang w:val="en-GB"/>
        </w:rPr>
        <w:fldChar w:fldCharType="end"/>
      </w:r>
      <w:r w:rsidR="008C774B" w:rsidRPr="00A565BA">
        <w:rPr>
          <w:color w:val="000000" w:themeColor="text1"/>
          <w:lang w:val="en-GB"/>
        </w:rPr>
        <w:t xml:space="preserve"> above, at § 324</w:t>
      </w:r>
      <w:r w:rsidRPr="00A565BA">
        <w:rPr>
          <w:color w:val="000000" w:themeColor="text1"/>
          <w:lang w:val="en-GB" w:eastAsia="ar-SA"/>
        </w:rPr>
        <w:t>).</w:t>
      </w:r>
      <w:bookmarkEnd w:id="66"/>
      <w:bookmarkEnd w:id="67"/>
    </w:p>
    <w:p w:rsidR="00500351" w:rsidRDefault="00500351" w:rsidP="00500351">
      <w:pPr>
        <w:pStyle w:val="ListParagraph"/>
        <w:rPr>
          <w:highlight w:val="yellow"/>
        </w:rPr>
      </w:pPr>
    </w:p>
    <w:p w:rsidR="00304E22" w:rsidRPr="00424947" w:rsidRDefault="00304E22" w:rsidP="003D4233">
      <w:pPr>
        <w:numPr>
          <w:ilvl w:val="0"/>
          <w:numId w:val="2"/>
        </w:numPr>
        <w:tabs>
          <w:tab w:val="clear" w:pos="360"/>
          <w:tab w:val="num" w:pos="450"/>
        </w:tabs>
        <w:ind w:left="450" w:hanging="450"/>
        <w:jc w:val="both"/>
        <w:rPr>
          <w:lang w:val="en-GB"/>
        </w:rPr>
      </w:pPr>
      <w:r w:rsidRPr="00A565BA">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A565BA">
        <w:rPr>
          <w:i/>
          <w:iCs/>
          <w:color w:val="000000" w:themeColor="text1"/>
          <w:lang w:val="en-GB"/>
        </w:rPr>
        <w:t>El-Masri</w:t>
      </w:r>
      <w:r w:rsidR="001C7357" w:rsidRPr="00A565BA">
        <w:rPr>
          <w:i/>
          <w:iCs/>
          <w:color w:val="000000" w:themeColor="text1"/>
          <w:lang w:val="en-GB"/>
        </w:rPr>
        <w:t>,</w:t>
      </w:r>
      <w:r w:rsidR="001C7357" w:rsidRPr="00A565BA">
        <w:rPr>
          <w:iCs/>
          <w:color w:val="000000" w:themeColor="text1"/>
          <w:lang w:val="en-GB"/>
        </w:rPr>
        <w:t xml:space="preserve"> cited in § </w:t>
      </w:r>
      <w:r w:rsidR="009C2A5A">
        <w:fldChar w:fldCharType="begin"/>
      </w:r>
      <w:r w:rsidR="009C2A5A">
        <w:instrText xml:space="preserve"> REF _Ref401160939 \r \h  \* MERGEFORMAT </w:instrText>
      </w:r>
      <w:r w:rsidR="009C2A5A">
        <w:fldChar w:fldCharType="separate"/>
      </w:r>
      <w:r w:rsidR="009C2A5A" w:rsidRPr="009C2A5A">
        <w:rPr>
          <w:iCs/>
          <w:color w:val="000000" w:themeColor="text1"/>
          <w:lang w:val="en-GB"/>
        </w:rPr>
        <w:t>175</w:t>
      </w:r>
      <w:r w:rsidR="009C2A5A">
        <w:fldChar w:fldCharType="end"/>
      </w:r>
      <w:r w:rsidR="001C7357" w:rsidRPr="00A565BA">
        <w:rPr>
          <w:iCs/>
          <w:color w:val="000000" w:themeColor="text1"/>
          <w:lang w:val="en-GB"/>
        </w:rPr>
        <w:t xml:space="preserve"> above, at</w:t>
      </w:r>
      <w:r w:rsidRPr="00A565BA">
        <w:rPr>
          <w:color w:val="000000" w:themeColor="text1"/>
          <w:lang w:val="en-GB"/>
        </w:rPr>
        <w:t xml:space="preserve"> § 191; ECtHR, </w:t>
      </w:r>
      <w:r w:rsidRPr="00A565BA">
        <w:rPr>
          <w:i/>
          <w:iCs/>
          <w:color w:val="000000" w:themeColor="text1"/>
          <w:lang w:val="en-GB"/>
        </w:rPr>
        <w:t>Al Nashiri v. Poland</w:t>
      </w:r>
      <w:r w:rsidRPr="00A565BA">
        <w:rPr>
          <w:color w:val="000000" w:themeColor="text1"/>
          <w:lang w:val="en-GB"/>
        </w:rPr>
        <w:t xml:space="preserve">, no. 28761/11, judgment of 24 July 2014, §§ 495-496). </w:t>
      </w:r>
      <w:r w:rsidRPr="00A565BA">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A565BA">
        <w:rPr>
          <w:i/>
          <w:iCs/>
          <w:color w:val="000000" w:themeColor="text1"/>
        </w:rPr>
        <w:t>Schedko and Bondarenko v. Belarus</w:t>
      </w:r>
      <w:r w:rsidRPr="00A565BA">
        <w:rPr>
          <w:color w:val="000000" w:themeColor="text1"/>
        </w:rPr>
        <w:t xml:space="preserve">, Communication no. 886/1999, views of 3 April 2003, § 10.2, CCPR/C/77/D/886/1999; HRC, </w:t>
      </w:r>
      <w:r w:rsidRPr="00A565BA">
        <w:rPr>
          <w:i/>
          <w:iCs/>
          <w:color w:val="000000" w:themeColor="text1"/>
        </w:rPr>
        <w:t>Mariam, Philippe, Auguste and Thomas Sankara v. Burkina Faso</w:t>
      </w:r>
      <w:r w:rsidRPr="00A565BA">
        <w:rPr>
          <w:color w:val="000000" w:themeColor="text1"/>
        </w:rPr>
        <w:t>, Communication no. 1159/2003, views of 8 March 2006</w:t>
      </w:r>
      <w:r w:rsidRPr="00A565BA">
        <w:rPr>
          <w:color w:val="000000" w:themeColor="text1"/>
          <w:sz w:val="27"/>
          <w:szCs w:val="27"/>
          <w:shd w:val="clear" w:color="auto" w:fill="FFFFFF"/>
        </w:rPr>
        <w:t xml:space="preserve">, </w:t>
      </w:r>
      <w:r w:rsidRPr="00A565BA">
        <w:rPr>
          <w:color w:val="000000" w:themeColor="text1"/>
        </w:rPr>
        <w:t xml:space="preserve">§ 10.2, CCPR/C/86/D/1159/2003; UN Human Rights Council, Resolutions 9/11 and 12/12: Right to the </w:t>
      </w:r>
      <w:r w:rsidRPr="00A565BA">
        <w:rPr>
          <w:color w:val="000000" w:themeColor="text1"/>
          <w:lang w:val="en-GB"/>
        </w:rPr>
        <w:t>Truth</w:t>
      </w:r>
      <w:r w:rsidRPr="00A565BA">
        <w:rPr>
          <w:color w:val="000000" w:themeColor="text1"/>
        </w:rPr>
        <w:t xml:space="preserve">, 24 September 2008 and 12 October 2009; Preamble and Article 24 (2) of the Convention for the Protection of All People from Enforced Disappearance, cited in § 106 above; see also Report of the Special Rapporteur on the promotion and protection of human </w:t>
      </w:r>
      <w:r w:rsidRPr="00A565BA">
        <w:rPr>
          <w:color w:val="000000" w:themeColor="text1"/>
        </w:rPr>
        <w:lastRenderedPageBreak/>
        <w:t>rights and fundamental freedoms while</w:t>
      </w:r>
      <w:r w:rsidRPr="00424947">
        <w:t xml:space="preserve"> countering terrorism, Mr Ben Emmerson, </w:t>
      </w:r>
      <w:r w:rsidRPr="00F0555D">
        <w:rPr>
          <w:iCs/>
        </w:rPr>
        <w:t>Framework Principles for securing the accountability of public officials for gross and systematic human rights violations committed in the context of State counter-terrorist initiatives</w:t>
      </w:r>
      <w:r w:rsidRPr="00F0555D">
        <w:t xml:space="preserve">, </w:t>
      </w:r>
      <w:r w:rsidRPr="00424947">
        <w:t>UN Document A/HRC/22/52, 1 March 2013, § 23-26).</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F0555D">
      <w:pPr>
        <w:pStyle w:val="ListParagraph"/>
        <w:numPr>
          <w:ilvl w:val="0"/>
          <w:numId w:val="5"/>
        </w:numPr>
        <w:tabs>
          <w:tab w:val="num" w:pos="270"/>
        </w:tabs>
        <w:suppressAutoHyphens w:val="0"/>
        <w:ind w:left="270" w:hanging="27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5E5F27" w:rsidRDefault="001A6816" w:rsidP="003D4233">
      <w:pPr>
        <w:numPr>
          <w:ilvl w:val="0"/>
          <w:numId w:val="2"/>
        </w:numPr>
        <w:tabs>
          <w:tab w:val="clear" w:pos="360"/>
          <w:tab w:val="num" w:pos="450"/>
        </w:tabs>
        <w:ind w:left="450" w:hanging="450"/>
        <w:jc w:val="both"/>
      </w:pPr>
      <w:r w:rsidRPr="00EF7DB5">
        <w:rPr>
          <w:lang w:val="en-GB"/>
        </w:rPr>
        <w:t xml:space="preserve">The Panel is conscious </w:t>
      </w:r>
      <w:r w:rsidR="00474B47" w:rsidRPr="005E5F27">
        <w:rPr>
          <w:lang w:val="en-GB"/>
        </w:rPr>
        <w:t>of the fact that</w:t>
      </w:r>
      <w:r w:rsidR="00BB3617" w:rsidRPr="005E5F27">
        <w:rPr>
          <w:lang w:val="en-GB"/>
        </w:rPr>
        <w:t xml:space="preserve"> </w:t>
      </w:r>
      <w:r w:rsidR="008025F1" w:rsidRPr="005E5F27">
        <w:t>the</w:t>
      </w:r>
      <w:r w:rsidR="00643F50" w:rsidRPr="005E5F27">
        <w:t xml:space="preserve"> </w:t>
      </w:r>
      <w:r w:rsidR="00822CDA" w:rsidRPr="005E5F27">
        <w:rPr>
          <w:lang w:val="en-GB"/>
        </w:rPr>
        <w:t xml:space="preserve">abduction and </w:t>
      </w:r>
      <w:r w:rsidR="00822CDA" w:rsidRPr="005E5F27">
        <w:rPr>
          <w:bCs/>
          <w:lang w:val="en-GB"/>
        </w:rPr>
        <w:t xml:space="preserve">disappearance of </w:t>
      </w:r>
      <w:r w:rsidR="00822CDA" w:rsidRPr="005E5F27">
        <w:rPr>
          <w:bCs/>
        </w:rPr>
        <w:t xml:space="preserve">Mr Slobodan Mitrović, Mr Milovan Krstić, </w:t>
      </w:r>
      <w:proofErr w:type="gramStart"/>
      <w:r w:rsidR="00822CDA" w:rsidRPr="005E5F27">
        <w:rPr>
          <w:bCs/>
        </w:rPr>
        <w:t>Mr</w:t>
      </w:r>
      <w:proofErr w:type="gramEnd"/>
      <w:r w:rsidR="00822CDA" w:rsidRPr="005E5F27">
        <w:rPr>
          <w:bCs/>
        </w:rPr>
        <w:t xml:space="preserve"> Miodrag Krsti</w:t>
      </w:r>
      <w:r w:rsidR="00822CDA" w:rsidRPr="005E5F27">
        <w:rPr>
          <w:bCs/>
          <w:lang w:val="sr-Latn-CS"/>
        </w:rPr>
        <w:t xml:space="preserve">ć, </w:t>
      </w:r>
      <w:r w:rsidR="00822CDA" w:rsidRPr="005E5F27">
        <w:rPr>
          <w:bCs/>
        </w:rPr>
        <w:t>Mr Živorad Krstić and Mr Miroslav Šuljinić</w:t>
      </w:r>
      <w:r w:rsidR="00822CDA" w:rsidRPr="005E5F27">
        <w:rPr>
          <w:lang w:val="en-GB"/>
        </w:rPr>
        <w:t xml:space="preserve"> </w:t>
      </w:r>
      <w:r w:rsidR="00236471" w:rsidRPr="005E5F27">
        <w:rPr>
          <w:lang w:val="en-GB"/>
        </w:rPr>
        <w:t xml:space="preserve">took place </w:t>
      </w:r>
      <w:r w:rsidR="00822CDA" w:rsidRPr="005E5F27">
        <w:t xml:space="preserve">about a year prior to </w:t>
      </w:r>
      <w:r w:rsidR="00236471" w:rsidRPr="005E5F27">
        <w:t>the deployment of UNMIK in Kosovo</w:t>
      </w:r>
      <w:r w:rsidR="00822CDA" w:rsidRPr="005E5F27">
        <w:t xml:space="preserve">, during </w:t>
      </w:r>
      <w:r w:rsidR="00236471" w:rsidRPr="005E5F27">
        <w:t xml:space="preserve">the armed conflict, when crime, violence and insecurity were rife. </w:t>
      </w:r>
    </w:p>
    <w:p w:rsidR="00E64BC1" w:rsidRPr="005E5F27"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BC6DA1" w:rsidP="003D4233">
      <w:pPr>
        <w:numPr>
          <w:ilvl w:val="0"/>
          <w:numId w:val="2"/>
        </w:numPr>
        <w:tabs>
          <w:tab w:val="clear" w:pos="360"/>
          <w:tab w:val="num" w:pos="450"/>
        </w:tabs>
        <w:ind w:left="450" w:hanging="450"/>
        <w:jc w:val="both"/>
        <w:rPr>
          <w:color w:val="000000"/>
        </w:rPr>
      </w:pPr>
      <w:r w:rsidRPr="005E5F27">
        <w:rPr>
          <w:lang w:val="en-GB" w:eastAsia="en-GB"/>
        </w:rPr>
        <w:t>Nevertheless, o</w:t>
      </w:r>
      <w:r w:rsidR="00E64BC1" w:rsidRPr="005E5F27">
        <w:rPr>
          <w:lang w:val="en-GB" w:eastAsia="en-GB"/>
        </w:rPr>
        <w:t xml:space="preserve">n his part, the SRSG does not contest that UNMIK had a duty to investigate the present case </w:t>
      </w:r>
      <w:r w:rsidR="00E64BC1" w:rsidRPr="005E5F27">
        <w:rPr>
          <w:lang w:val="en-GB"/>
        </w:rPr>
        <w:t>under</w:t>
      </w:r>
      <w:r w:rsidR="00E64BC1" w:rsidRPr="005E5F27">
        <w:rPr>
          <w:lang w:val="en-GB" w:eastAsia="en-GB"/>
        </w:rPr>
        <w:t xml:space="preserve"> ECHR</w:t>
      </w:r>
      <w:r w:rsidR="00E64BC1" w:rsidRPr="00E64BC1">
        <w:rPr>
          <w:lang w:val="en-GB" w:eastAsia="en-GB"/>
        </w:rPr>
        <w:t xml:space="preserve">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The Panel </w:t>
      </w:r>
      <w:r w:rsidRPr="00D22581">
        <w:rPr>
          <w:lang w:val="en-GB"/>
        </w:rPr>
        <w:t>considers</w:t>
      </w:r>
      <w:r w:rsidRPr="00D22581">
        <w:rPr>
          <w:color w:val="000000"/>
          <w:lang w:val="en-GB"/>
        </w:rPr>
        <w:t xml:space="preserve"> that</w:t>
      </w:r>
      <w:r w:rsidR="009D760E">
        <w:rPr>
          <w:color w:val="000000"/>
          <w:lang w:val="en-GB"/>
        </w:rPr>
        <w:t xml:space="preserve"> the SRSG’s arguments</w:t>
      </w:r>
      <w:r w:rsidRPr="00D22581">
        <w:rPr>
          <w:color w:val="000000"/>
          <w:lang w:val="en-GB"/>
        </w:rPr>
        <w:t xml:space="preserve"> raise two main questions: first, whether the </w:t>
      </w:r>
      <w:r w:rsidRPr="00D9184B">
        <w:rPr>
          <w:lang w:val="en-GB"/>
        </w:rPr>
        <w:t>standards</w:t>
      </w:r>
      <w:r w:rsidRPr="00D22581">
        <w:rPr>
          <w:color w:val="000000"/>
          <w:lang w:val="en-GB"/>
        </w:rPr>
        <w:t xml:space="preserve"> of Article 2 continue to apply in situation of conflict or generalised violence and, secondly, whether such standards shall be consid</w:t>
      </w:r>
      <w:r w:rsidR="007245EF" w:rsidRPr="00D22581">
        <w:rPr>
          <w:color w:val="000000"/>
          <w:lang w:val="en-GB"/>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w:t>
      </w:r>
      <w:r w:rsidRPr="00D9184B">
        <w:rPr>
          <w:lang w:val="en-GB"/>
        </w:rPr>
        <w:t>obligation</w:t>
      </w:r>
      <w:r w:rsidRPr="00D22581">
        <w:rPr>
          <w:color w:val="000000"/>
          <w:lang w:val="en-GB" w:eastAsia="nl-BE"/>
        </w:rPr>
        <w:t xml:space="preserve">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5E5F27" w:rsidRDefault="0097226F" w:rsidP="003D4233">
      <w:pPr>
        <w:numPr>
          <w:ilvl w:val="0"/>
          <w:numId w:val="2"/>
        </w:numPr>
        <w:tabs>
          <w:tab w:val="clear" w:pos="360"/>
          <w:tab w:val="num" w:pos="450"/>
        </w:tabs>
        <w:ind w:left="450" w:hanging="450"/>
        <w:jc w:val="both"/>
        <w:rPr>
          <w:color w:val="000000" w:themeColor="text1"/>
          <w:lang w:val="en-GB"/>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9F41BA">
        <w:fldChar w:fldCharType="begin"/>
      </w:r>
      <w:r w:rsidR="00A04837">
        <w:rPr>
          <w:lang w:val="en-GB"/>
        </w:rPr>
        <w:instrText xml:space="preserve"> REF _Ref346724174 \r \h </w:instrText>
      </w:r>
      <w:r w:rsidR="009F41BA">
        <w:fldChar w:fldCharType="separate"/>
      </w:r>
      <w:r w:rsidR="009C2A5A">
        <w:rPr>
          <w:lang w:val="en-GB"/>
        </w:rPr>
        <w:t>172</w:t>
      </w:r>
      <w:r w:rsidR="009F41BA">
        <w:fldChar w:fldCharType="end"/>
      </w:r>
      <w:r w:rsidR="00A04837">
        <w:t xml:space="preserve"> </w:t>
      </w:r>
      <w:r w:rsidRPr="007E0E7E">
        <w:rPr>
          <w:lang w:val="en-GB"/>
        </w:rPr>
        <w:t xml:space="preserve">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E0E7E">
        <w:rPr>
          <w:i/>
          <w:lang w:val="en-GB"/>
        </w:rPr>
        <w:t>Al-Skeini and Others v. the United Kingdom</w:t>
      </w:r>
      <w:r w:rsidRPr="007E0E7E">
        <w:rPr>
          <w:lang w:val="en-GB"/>
        </w:rPr>
        <w:t xml:space="preserve">, </w:t>
      </w:r>
      <w:r w:rsidRPr="0026408E">
        <w:rPr>
          <w:lang w:val="en-GB"/>
        </w:rPr>
        <w:t xml:space="preserve">cited in § </w:t>
      </w:r>
      <w:r w:rsidR="009F41BA">
        <w:fldChar w:fldCharType="begin"/>
      </w:r>
      <w:r w:rsidR="00A04837">
        <w:rPr>
          <w:lang w:val="en-GB"/>
        </w:rPr>
        <w:instrText xml:space="preserve"> REF _Ref398312896 \r \h </w:instrText>
      </w:r>
      <w:r w:rsidR="009F41BA">
        <w:fldChar w:fldCharType="separate"/>
      </w:r>
      <w:r w:rsidR="009C2A5A">
        <w:rPr>
          <w:lang w:val="en-GB"/>
        </w:rPr>
        <w:t>178</w:t>
      </w:r>
      <w:r w:rsidR="009F41BA">
        <w:fldChar w:fldCharType="end"/>
      </w:r>
      <w:r w:rsidR="00A04837">
        <w:t xml:space="preserve"> </w:t>
      </w:r>
      <w:r w:rsidRPr="0026408E">
        <w:rPr>
          <w:lang w:val="en-GB"/>
        </w:rPr>
        <w:t xml:space="preserve">above, at § 164; see also ECtHR, </w:t>
      </w:r>
      <w:r w:rsidRPr="0026408E">
        <w:rPr>
          <w:i/>
          <w:lang w:val="en-GB"/>
        </w:rPr>
        <w:t>Güleç v. Turkey</w:t>
      </w:r>
      <w:r w:rsidRPr="0026408E">
        <w:rPr>
          <w:lang w:val="en-GB"/>
        </w:rPr>
        <w:t>, judgment of 27 July 1998, § 81, Reports</w:t>
      </w:r>
      <w:r w:rsidRPr="007E0E7E">
        <w:rPr>
          <w:lang w:val="en-GB"/>
        </w:rPr>
        <w:t xml:space="preserve"> 1998-IV; ECtHR,</w:t>
      </w:r>
      <w:r w:rsidR="001B245B" w:rsidRPr="007E0E7E">
        <w:rPr>
          <w:lang w:val="en-GB"/>
        </w:rPr>
        <w:t xml:space="preserve"> </w:t>
      </w:r>
      <w:r w:rsidRPr="007E0E7E">
        <w:rPr>
          <w:i/>
          <w:lang w:val="en-GB"/>
        </w:rPr>
        <w:t xml:space="preserve">Ergi v. </w:t>
      </w:r>
      <w:r w:rsidRPr="007E0E7E">
        <w:rPr>
          <w:i/>
          <w:lang w:val="en-GB"/>
        </w:rPr>
        <w:lastRenderedPageBreak/>
        <w:t>Turkey</w:t>
      </w:r>
      <w:r w:rsidRPr="007E0E7E">
        <w:rPr>
          <w:lang w:val="en-GB"/>
        </w:rPr>
        <w:t xml:space="preserve">, judgment of 28 July </w:t>
      </w:r>
      <w:r w:rsidRPr="005E5F27">
        <w:rPr>
          <w:color w:val="000000" w:themeColor="text1"/>
          <w:lang w:val="en-GB"/>
        </w:rPr>
        <w:t>1998</w:t>
      </w:r>
      <w:r w:rsidR="00BB3617" w:rsidRPr="005E5F27">
        <w:rPr>
          <w:color w:val="000000" w:themeColor="text1"/>
          <w:lang w:val="en-GB"/>
        </w:rPr>
        <w:t xml:space="preserve"> </w:t>
      </w:r>
      <w:r w:rsidRPr="005E5F27">
        <w:rPr>
          <w:color w:val="000000" w:themeColor="text1"/>
          <w:lang w:val="en-GB"/>
        </w:rPr>
        <w:t>, §§ 79 and 82, Reports 1998-IV; ECtHR,</w:t>
      </w:r>
      <w:r w:rsidR="00726F40" w:rsidRPr="005E5F27">
        <w:rPr>
          <w:color w:val="000000" w:themeColor="text1"/>
          <w:lang w:val="en-GB"/>
        </w:rPr>
        <w:t xml:space="preserve"> </w:t>
      </w:r>
      <w:r w:rsidRPr="005E5F27">
        <w:rPr>
          <w:i/>
          <w:color w:val="000000" w:themeColor="text1"/>
          <w:lang w:val="en-GB"/>
        </w:rPr>
        <w:t>Ahmet</w:t>
      </w:r>
      <w:r w:rsidR="00BB3617" w:rsidRPr="005E5F27">
        <w:rPr>
          <w:i/>
          <w:color w:val="000000" w:themeColor="text1"/>
          <w:lang w:val="en-GB"/>
        </w:rPr>
        <w:t xml:space="preserve"> </w:t>
      </w:r>
      <w:r w:rsidRPr="005E5F27">
        <w:rPr>
          <w:i/>
          <w:color w:val="000000" w:themeColor="text1"/>
          <w:lang w:val="en-GB"/>
        </w:rPr>
        <w:t>Özkan and Others v. Turkey</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85-90, 309-320 and 326-330;</w:t>
      </w:r>
      <w:r w:rsidR="00B408E6" w:rsidRPr="005E5F27">
        <w:rPr>
          <w:color w:val="000000" w:themeColor="text1"/>
          <w:lang w:val="en-GB"/>
        </w:rPr>
        <w:t xml:space="preserve"> </w:t>
      </w:r>
      <w:r w:rsidRPr="005E5F27">
        <w:rPr>
          <w:i/>
          <w:color w:val="000000" w:themeColor="text1"/>
          <w:lang w:val="en-GB"/>
        </w:rPr>
        <w:t>Isayeva v. Russia</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180 and 210; ECtHR, </w:t>
      </w:r>
      <w:r w:rsidRPr="005E5F27">
        <w:rPr>
          <w:i/>
          <w:color w:val="000000" w:themeColor="text1"/>
          <w:lang w:val="en-GB"/>
        </w:rPr>
        <w:t>Kanlibaş v. Turkey</w:t>
      </w:r>
      <w:r w:rsidRPr="005E5F27">
        <w:rPr>
          <w:color w:val="000000" w:themeColor="text1"/>
          <w:lang w:val="en-GB"/>
        </w:rPr>
        <w:t>, no. 32444/96, judgment of 8 December 2005, §§ 39</w:t>
      </w:r>
      <w:r w:rsidR="008C774B" w:rsidRPr="005E5F27">
        <w:rPr>
          <w:color w:val="000000" w:themeColor="text1"/>
          <w:lang w:val="en-GB"/>
        </w:rPr>
        <w:t xml:space="preserve"> – </w:t>
      </w:r>
      <w:r w:rsidRPr="005E5F27">
        <w:rPr>
          <w:color w:val="000000" w:themeColor="text1"/>
          <w:lang w:val="en-GB"/>
        </w:rPr>
        <w:t>51</w:t>
      </w:r>
      <w:r w:rsidR="008C774B" w:rsidRPr="005E5F27">
        <w:rPr>
          <w:color w:val="000000" w:themeColor="text1"/>
          <w:lang w:val="en-GB"/>
        </w:rPr>
        <w:t xml:space="preserve">; ECtHR [GC], </w:t>
      </w:r>
      <w:r w:rsidR="008C774B" w:rsidRPr="005E5F27">
        <w:rPr>
          <w:i/>
          <w:color w:val="000000" w:themeColor="text1"/>
          <w:lang w:val="en-GB"/>
        </w:rPr>
        <w:t>Mocanu and Others v. Romania</w:t>
      </w:r>
      <w:r w:rsidR="008C774B" w:rsidRPr="005E5F27">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5E5F27">
        <w:rPr>
          <w:color w:val="000000" w:themeColor="text1"/>
          <w:lang w:val="en-GB"/>
        </w:rPr>
        <w:t xml:space="preserve"> above, at § 319</w:t>
      </w:r>
      <w:r w:rsidRPr="005E5F27">
        <w:rPr>
          <w:color w:val="000000" w:themeColor="text1"/>
          <w:lang w:val="en-GB"/>
        </w:rPr>
        <w:t xml:space="preserve">). </w:t>
      </w:r>
    </w:p>
    <w:p w:rsidR="0097226F" w:rsidRPr="005E5F27" w:rsidRDefault="0097226F" w:rsidP="00BE6362">
      <w:pPr>
        <w:pStyle w:val="ListParagraph"/>
        <w:tabs>
          <w:tab w:val="num" w:pos="450"/>
        </w:tabs>
        <w:ind w:left="450" w:hanging="450"/>
        <w:rPr>
          <w:color w:val="000000" w:themeColor="text1"/>
          <w:lang w:val="en-GB"/>
        </w:rPr>
      </w:pPr>
    </w:p>
    <w:p w:rsidR="0097226F" w:rsidRPr="007E0E7E" w:rsidRDefault="0097226F" w:rsidP="003D4233">
      <w:pPr>
        <w:numPr>
          <w:ilvl w:val="0"/>
          <w:numId w:val="2"/>
        </w:numPr>
        <w:tabs>
          <w:tab w:val="clear" w:pos="360"/>
          <w:tab w:val="num" w:pos="450"/>
        </w:tabs>
        <w:ind w:left="450" w:hanging="450"/>
        <w:jc w:val="both"/>
        <w:rPr>
          <w:color w:val="000000"/>
          <w:lang w:val="en-GB"/>
        </w:rPr>
      </w:pPr>
      <w:bookmarkStart w:id="68" w:name="_Ref401251707"/>
      <w:r w:rsidRPr="005E5F27">
        <w:rPr>
          <w:color w:val="000000" w:themeColor="text1"/>
          <w:lang w:val="en-GB"/>
        </w:rPr>
        <w:t>The Court has acknowledged that “where the death [and disappearances] to be investigated under Article 2 occur in circumstances</w:t>
      </w:r>
      <w:r w:rsidRPr="00D22581">
        <w:rPr>
          <w:lang w:val="en-GB"/>
        </w:rPr>
        <w:t xml:space="preserve"> of generalised violence, armed conflict or </w:t>
      </w:r>
      <w:r w:rsidRPr="007E0E7E">
        <w:rPr>
          <w:lang w:val="en-GB"/>
        </w:rPr>
        <w:t xml:space="preserve">insurgency, obstacles may be placed in the way of investigators and concrete constraints may compel the use of less effective measures of investigation or may cause an investigation to be delayed” (see, ECtHR [GC], </w:t>
      </w:r>
      <w:r w:rsidRPr="007E0E7E">
        <w:rPr>
          <w:i/>
          <w:lang w:val="en-GB"/>
        </w:rPr>
        <w:t xml:space="preserve">Al-Skeini and Others v. the United Kingdom, </w:t>
      </w:r>
      <w:r w:rsidRPr="007E0E7E">
        <w:rPr>
          <w:lang w:val="en-GB"/>
        </w:rPr>
        <w:t>cited above, at §</w:t>
      </w:r>
      <w:r w:rsidR="0026408E">
        <w:rPr>
          <w:lang w:val="en-GB"/>
        </w:rPr>
        <w:t xml:space="preserve"> </w:t>
      </w:r>
      <w:r w:rsidRPr="007E0E7E">
        <w:rPr>
          <w:lang w:val="en-GB"/>
        </w:rPr>
        <w:t>164;</w:t>
      </w:r>
      <w:r w:rsidR="00F80146" w:rsidRPr="007E0E7E">
        <w:rPr>
          <w:lang w:val="en-GB"/>
        </w:rPr>
        <w:t xml:space="preserve"> </w:t>
      </w:r>
      <w:r w:rsidRPr="007E0E7E">
        <w:rPr>
          <w:lang w:val="en-GB"/>
        </w:rPr>
        <w:t>ECtHR,</w:t>
      </w:r>
      <w:r w:rsidR="00BB3617" w:rsidRPr="007E0E7E">
        <w:rPr>
          <w:lang w:val="en-GB"/>
        </w:rPr>
        <w:t xml:space="preserve"> </w:t>
      </w:r>
      <w:r w:rsidRPr="007E0E7E">
        <w:rPr>
          <w:i/>
          <w:lang w:val="en-GB"/>
        </w:rPr>
        <w:t>Bazorkina v. Russia</w:t>
      </w:r>
      <w:r w:rsidRPr="007E0E7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rPr>
        <w:t>Kaya v. Turkey</w:t>
      </w:r>
      <w:r w:rsidRPr="007E0E7E">
        <w:rPr>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lang w:val="en-GB"/>
        </w:rPr>
        <w:t>169</w:t>
      </w:r>
      <w:r w:rsidR="009C2A5A">
        <w:fldChar w:fldCharType="end"/>
      </w:r>
      <w:r w:rsidRPr="007E0E7E">
        <w:rPr>
          <w:lang w:val="en-GB"/>
        </w:rPr>
        <w:t xml:space="preserve"> above, at §§ 86</w:t>
      </w:r>
      <w:r w:rsidRPr="007E0E7E">
        <w:rPr>
          <w:lang w:val="en-GB"/>
        </w:rPr>
        <w:noBreakHyphen/>
        <w:t xml:space="preserve">92; ECtHR, </w:t>
      </w:r>
      <w:r w:rsidRPr="007E0E7E">
        <w:rPr>
          <w:i/>
          <w:lang w:val="en-GB"/>
        </w:rPr>
        <w:t>Ergi</w:t>
      </w:r>
      <w:r w:rsidR="00AF4D57" w:rsidRPr="007E0E7E">
        <w:rPr>
          <w:i/>
          <w:lang w:val="en-GB"/>
        </w:rPr>
        <w:t xml:space="preserve"> v Turkey</w:t>
      </w:r>
      <w:r w:rsidRPr="007E0E7E">
        <w:rPr>
          <w:i/>
          <w:lang w:val="en-GB"/>
        </w:rPr>
        <w:t xml:space="preserve">, </w:t>
      </w:r>
      <w:r w:rsidRPr="007E0E7E">
        <w:rPr>
          <w:lang w:val="en-GB"/>
        </w:rPr>
        <w:t xml:space="preserve">cited above, at §§ 82-85; ECtHR [GC], </w:t>
      </w:r>
      <w:r w:rsidRPr="007E0E7E">
        <w:rPr>
          <w:i/>
          <w:lang w:val="en-GB"/>
        </w:rPr>
        <w:t>Tanrıkulu v. Turkey</w:t>
      </w:r>
      <w:r w:rsidRPr="007E0E7E">
        <w:rPr>
          <w:lang w:val="en-GB"/>
        </w:rPr>
        <w:t xml:space="preserve">, no. 23763/94, judgment of 8 July 1999, §§ 101-110, ECHR 1999-IV; ECtHR, </w:t>
      </w:r>
      <w:r w:rsidRPr="007E0E7E">
        <w:rPr>
          <w:i/>
          <w:lang w:val="en-GB"/>
        </w:rPr>
        <w:t>Khashiyev and Akayeva v. Russia</w:t>
      </w:r>
      <w:r w:rsidRPr="007E0E7E">
        <w:rPr>
          <w:lang w:val="en-GB"/>
        </w:rPr>
        <w:t xml:space="preserve">, </w:t>
      </w:r>
      <w:r w:rsidR="000253E8">
        <w:rPr>
          <w:lang w:val="en-GB"/>
        </w:rPr>
        <w:t>nos</w:t>
      </w:r>
      <w:r w:rsidRPr="007E0E7E">
        <w:rPr>
          <w:lang w:val="en-GB"/>
        </w:rPr>
        <w:t xml:space="preserve"> 57942/00 and 57945/00, judgment of 24 February 2005, §§ 156-166; ECtHR, </w:t>
      </w:r>
      <w:r w:rsidRPr="007E0E7E">
        <w:rPr>
          <w:i/>
          <w:lang w:val="en-GB"/>
        </w:rPr>
        <w:t>Isayeva v. Russia</w:t>
      </w:r>
      <w:r w:rsidRPr="007E0E7E">
        <w:rPr>
          <w:lang w:val="en-GB"/>
        </w:rPr>
        <w:t xml:space="preserve">, cited </w:t>
      </w:r>
      <w:r w:rsidRPr="007E0E7E">
        <w:rPr>
          <w:color w:val="000000"/>
          <w:lang w:val="en-GB"/>
        </w:rPr>
        <w:t xml:space="preserve">in § </w:t>
      </w:r>
      <w:r w:rsidR="009F41BA">
        <w:fldChar w:fldCharType="begin"/>
      </w:r>
      <w:r w:rsidR="00A04837">
        <w:rPr>
          <w:color w:val="000000"/>
          <w:lang w:val="en-GB"/>
        </w:rPr>
        <w:instrText xml:space="preserve"> REF _Ref346723791 \r \h </w:instrText>
      </w:r>
      <w:r w:rsidR="009F41BA">
        <w:fldChar w:fldCharType="separate"/>
      </w:r>
      <w:r w:rsidR="009C2A5A">
        <w:rPr>
          <w:color w:val="000000"/>
          <w:lang w:val="en-GB"/>
        </w:rPr>
        <w:t>171</w:t>
      </w:r>
      <w:r w:rsidR="009F41BA">
        <w:fldChar w:fldCharType="end"/>
      </w:r>
      <w:r w:rsidR="00A04837">
        <w:t xml:space="preserve"> </w:t>
      </w:r>
      <w:r w:rsidRPr="007E0E7E">
        <w:rPr>
          <w:lang w:val="en-GB"/>
        </w:rPr>
        <w:t>above, at §§ 215</w:t>
      </w:r>
      <w:r w:rsidRPr="007E0E7E">
        <w:rPr>
          <w:lang w:val="en-GB"/>
        </w:rPr>
        <w:noBreakHyphen/>
        <w:t xml:space="preserve">224; ECtHR, </w:t>
      </w:r>
      <w:r w:rsidRPr="007E0E7E">
        <w:rPr>
          <w:i/>
          <w:lang w:val="en-GB"/>
        </w:rPr>
        <w:t>Musayev and Others v. Russia</w:t>
      </w:r>
      <w:r w:rsidRPr="007E0E7E">
        <w:rPr>
          <w:lang w:val="en-GB"/>
        </w:rPr>
        <w:t xml:space="preserve">, </w:t>
      </w:r>
      <w:r w:rsidR="000253E8">
        <w:rPr>
          <w:lang w:val="en-GB"/>
        </w:rPr>
        <w:t>nos</w:t>
      </w:r>
      <w:r w:rsidRPr="007E0E7E">
        <w:rPr>
          <w:lang w:val="en-GB"/>
        </w:rPr>
        <w:t xml:space="preserve"> 57941/00 and others, judgment of 26 July 2007, §§ 158-165).</w:t>
      </w:r>
      <w:bookmarkEnd w:id="68"/>
      <w:r w:rsidRPr="007E0E7E">
        <w:rPr>
          <w:lang w:val="en-GB"/>
        </w:rPr>
        <w:t xml:space="preserve">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3D4233">
      <w:pPr>
        <w:numPr>
          <w:ilvl w:val="0"/>
          <w:numId w:val="2"/>
        </w:numPr>
        <w:tabs>
          <w:tab w:val="clear" w:pos="360"/>
          <w:tab w:val="num" w:pos="450"/>
        </w:tabs>
        <w:ind w:left="450" w:hanging="450"/>
        <w:jc w:val="both"/>
        <w:rPr>
          <w:i/>
          <w:color w:val="000000"/>
          <w:lang w:val="en-GB"/>
        </w:rPr>
      </w:pPr>
      <w:r w:rsidRPr="007E0E7E">
        <w:rPr>
          <w:color w:val="000000"/>
          <w:lang w:val="en-GB"/>
        </w:rPr>
        <w:t xml:space="preserve">Similarly, the HRC has held that the right to life, including its procedural guarantees, shall be </w:t>
      </w:r>
      <w:r w:rsidRPr="00D9184B">
        <w:rPr>
          <w:lang w:val="en-GB"/>
        </w:rPr>
        <w:t>considered</w:t>
      </w:r>
      <w:r w:rsidRPr="007E0E7E">
        <w:rPr>
          <w:color w:val="000000"/>
          <w:lang w:val="en-GB"/>
        </w:rPr>
        <w:t xml:space="preserve"> as the supreme right from which no derogation is </w:t>
      </w:r>
      <w:r w:rsidRPr="007E0E7E">
        <w:rPr>
          <w:lang w:val="en-GB"/>
        </w:rPr>
        <w:t>permitted</w:t>
      </w:r>
      <w:r w:rsidRPr="007E0E7E">
        <w:rPr>
          <w:color w:val="000000"/>
          <w:lang w:val="en-GB"/>
        </w:rPr>
        <w:t xml:space="preserve"> even in time of public emergency which threatens the life of the nation (see, HRC, General Comment No. 6, cited in § </w:t>
      </w:r>
      <w:r w:rsidR="009C2A5A">
        <w:fldChar w:fldCharType="begin"/>
      </w:r>
      <w:r w:rsidR="009C2A5A">
        <w:instrText xml:space="preserve"> REF _Ref348512105 \r \h  \* MERGEFORMAT </w:instrText>
      </w:r>
      <w:r w:rsidR="009C2A5A">
        <w:fldChar w:fldCharType="separate"/>
      </w:r>
      <w:r w:rsidR="009C2A5A" w:rsidRPr="009C2A5A">
        <w:rPr>
          <w:color w:val="000000"/>
          <w:lang w:val="en-GB"/>
        </w:rPr>
        <w:t>168</w:t>
      </w:r>
      <w:r w:rsidR="009C2A5A">
        <w:fldChar w:fldCharType="end"/>
      </w:r>
      <w:r w:rsidRPr="007E0E7E">
        <w:rPr>
          <w:color w:val="000000"/>
          <w:lang w:val="en-GB"/>
        </w:rPr>
        <w:t xml:space="preserve"> above, at § </w:t>
      </w:r>
      <w:r w:rsidRPr="007E0E7E">
        <w:rPr>
          <w:lang w:val="en-GB"/>
        </w:rPr>
        <w:t xml:space="preserve">1; HRC, </w:t>
      </w:r>
      <w:r w:rsidRPr="007E0E7E">
        <w:rPr>
          <w:i/>
          <w:lang w:val="en-GB"/>
        </w:rPr>
        <w:t>Abubakar</w:t>
      </w:r>
      <w:r w:rsidR="00BB3617" w:rsidRPr="007E0E7E">
        <w:rPr>
          <w:i/>
          <w:lang w:val="en-GB"/>
        </w:rPr>
        <w:t xml:space="preserve"> </w:t>
      </w:r>
      <w:r w:rsidRPr="007E0E7E">
        <w:rPr>
          <w:i/>
          <w:lang w:val="en-GB"/>
        </w:rPr>
        <w:t>Amirov and Aïzan</w:t>
      </w:r>
      <w:r w:rsidR="00BB3617" w:rsidRPr="007E0E7E">
        <w:rPr>
          <w:i/>
          <w:lang w:val="en-GB"/>
        </w:rPr>
        <w:t xml:space="preserve"> </w:t>
      </w:r>
      <w:r w:rsidRPr="007E0E7E">
        <w:rPr>
          <w:i/>
          <w:lang w:val="en-GB"/>
        </w:rPr>
        <w:t>Amirova v. Russian Federation</w:t>
      </w:r>
      <w:r w:rsidRPr="007E0E7E">
        <w:rPr>
          <w:lang w:val="en-GB"/>
        </w:rPr>
        <w:t xml:space="preserve">, communication no. 1447/2006, views of 22 April 2009, § 11.2, </w:t>
      </w:r>
      <w:r w:rsidRPr="007E0E7E">
        <w:rPr>
          <w:bCs/>
          <w:lang w:val="en-GB"/>
        </w:rPr>
        <w:t>CCPR/C/95/D/1447/2006</w:t>
      </w:r>
      <w:r w:rsidRPr="007E0E7E">
        <w:rPr>
          <w:lang w:val="en-GB"/>
        </w:rPr>
        <w:t>). Further, the HRC has stated the applicability of Article 2 (3), 6</w:t>
      </w:r>
      <w:r w:rsidRPr="007E0E7E">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rPr>
        <w:t>§§ 12-13, CCPR/C/UNK/CO/1).</w:t>
      </w:r>
    </w:p>
    <w:p w:rsidR="0097226F" w:rsidRPr="00D22581" w:rsidRDefault="0097226F" w:rsidP="00BE6362">
      <w:pPr>
        <w:tabs>
          <w:tab w:val="num" w:pos="450"/>
        </w:tabs>
        <w:ind w:left="450" w:hanging="450"/>
        <w:rPr>
          <w:lang w:val="en-GB"/>
        </w:rPr>
      </w:pPr>
    </w:p>
    <w:p w:rsidR="00DC4D9D" w:rsidRDefault="0097226F" w:rsidP="003D4233">
      <w:pPr>
        <w:numPr>
          <w:ilvl w:val="0"/>
          <w:numId w:val="2"/>
        </w:numPr>
        <w:tabs>
          <w:tab w:val="clear" w:pos="360"/>
          <w:tab w:val="num" w:pos="450"/>
        </w:tabs>
        <w:ind w:left="450" w:hanging="450"/>
        <w:jc w:val="both"/>
        <w:rPr>
          <w:lang w:val="en-GB"/>
        </w:rPr>
      </w:pPr>
      <w:bookmarkStart w:id="69"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w:t>
      </w:r>
      <w:r w:rsidRPr="00D22581">
        <w:rPr>
          <w:color w:val="000000"/>
          <w:lang w:val="en-GB"/>
        </w:rPr>
        <w:lastRenderedPageBreak/>
        <w:t xml:space="preserve">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Secretary-General (</w:t>
      </w:r>
      <w:r w:rsidRPr="009C2A5A">
        <w:rPr>
          <w:lang w:val="en-GB"/>
        </w:rPr>
        <w:t xml:space="preserve">see § </w:t>
      </w:r>
      <w:r w:rsidR="009C2A5A" w:rsidRPr="009C2A5A">
        <w:fldChar w:fldCharType="begin"/>
      </w:r>
      <w:r w:rsidR="009C2A5A" w:rsidRPr="009C2A5A">
        <w:instrText xml:space="preserve"> REF _Ref398312960 \r \h  \* MERGEFORMAT </w:instrText>
      </w:r>
      <w:r w:rsidR="009C2A5A" w:rsidRPr="009C2A5A">
        <w:fldChar w:fldCharType="separate"/>
      </w:r>
      <w:r w:rsidR="009C2A5A" w:rsidRPr="009C2A5A">
        <w:rPr>
          <w:lang w:val="en-GB"/>
        </w:rPr>
        <w:t>35</w:t>
      </w:r>
      <w:r w:rsidR="009C2A5A" w:rsidRPr="009C2A5A">
        <w:fldChar w:fldCharType="end"/>
      </w:r>
      <w:r w:rsidR="00A04837" w:rsidRPr="009C2A5A">
        <w:rPr>
          <w:lang w:val="en-GB"/>
        </w:rPr>
        <w:t xml:space="preserve"> </w:t>
      </w:r>
      <w:r w:rsidRPr="009C2A5A">
        <w:rPr>
          <w:lang w:val="en-GB"/>
        </w:rPr>
        <w:t>above</w:t>
      </w:r>
      <w:r w:rsidRPr="00F80146">
        <w:rPr>
          <w:lang w:val="en-GB"/>
        </w:rPr>
        <w:t>).</w:t>
      </w:r>
      <w:bookmarkEnd w:id="69"/>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3D4233">
      <w:pPr>
        <w:numPr>
          <w:ilvl w:val="0"/>
          <w:numId w:val="2"/>
        </w:numPr>
        <w:tabs>
          <w:tab w:val="clear" w:pos="360"/>
          <w:tab w:val="num" w:pos="450"/>
        </w:tabs>
        <w:ind w:left="450" w:hanging="450"/>
        <w:jc w:val="both"/>
        <w:rPr>
          <w:lang w:val="en-GB"/>
        </w:rPr>
      </w:pPr>
      <w:bookmarkStart w:id="70" w:name="_Ref398313089"/>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9F41BA">
        <w:fldChar w:fldCharType="begin"/>
      </w:r>
      <w:r w:rsidR="00A04837">
        <w:instrText xml:space="preserve"> REF _Ref346724174 \r \h </w:instrText>
      </w:r>
      <w:r w:rsidR="009F41BA">
        <w:fldChar w:fldCharType="separate"/>
      </w:r>
      <w:r w:rsidR="009C2A5A">
        <w:t>172</w:t>
      </w:r>
      <w:r w:rsidR="009F41BA">
        <w:fldChar w:fldCharType="end"/>
      </w:r>
      <w:r w:rsidR="00A04837">
        <w:t xml:space="preserve"> </w:t>
      </w:r>
      <w:r w:rsidR="00F80146" w:rsidRPr="00A06902">
        <w:t xml:space="preserve">above, </w:t>
      </w:r>
      <w:r w:rsidR="00A04837">
        <w:t xml:space="preserve">at </w:t>
      </w:r>
      <w:r w:rsidR="00F80146" w:rsidRPr="00A06902">
        <w:t xml:space="preserve">§ 70; </w:t>
      </w:r>
      <w:r w:rsidR="00F80146" w:rsidRPr="00A06902">
        <w:rPr>
          <w:i/>
        </w:rPr>
        <w:t>Brecknell v. The United Kingdom,</w:t>
      </w:r>
      <w:r w:rsidR="00F80146" w:rsidRPr="00A06902">
        <w:t xml:space="preserve"> no. 32457/04, judgment of 27 November 2007, § 62).</w:t>
      </w:r>
      <w:bookmarkEnd w:id="70"/>
    </w:p>
    <w:p w:rsidR="002E256E" w:rsidRPr="002E256E" w:rsidRDefault="002E256E" w:rsidP="002E256E">
      <w:pPr>
        <w:pStyle w:val="ListParagraph"/>
        <w:rPr>
          <w:lang w:val="en-GB"/>
        </w:rPr>
      </w:pPr>
    </w:p>
    <w:p w:rsidR="002E256E" w:rsidRPr="00DA035A" w:rsidRDefault="002E256E" w:rsidP="003D4233">
      <w:pPr>
        <w:numPr>
          <w:ilvl w:val="0"/>
          <w:numId w:val="2"/>
        </w:numPr>
        <w:tabs>
          <w:tab w:val="clear" w:pos="360"/>
          <w:tab w:val="num" w:pos="450"/>
        </w:tabs>
        <w:ind w:left="450" w:hanging="450"/>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641D5D" w:rsidRDefault="0097226F" w:rsidP="003D4233">
      <w:pPr>
        <w:numPr>
          <w:ilvl w:val="0"/>
          <w:numId w:val="2"/>
        </w:numPr>
        <w:tabs>
          <w:tab w:val="clear" w:pos="360"/>
          <w:tab w:val="num" w:pos="450"/>
        </w:tabs>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but only in relation to their </w:t>
      </w:r>
      <w:r w:rsidRPr="00D9184B">
        <w:t>specific</w:t>
      </w:r>
      <w:r w:rsidRPr="00D22581">
        <w:rPr>
          <w:rStyle w:val="sb8d990e2"/>
          <w:lang w:val="en-GB"/>
        </w:rPr>
        <w:t xml:space="preserve">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w:t>
      </w:r>
      <w:r w:rsidRPr="00641D5D">
        <w:rPr>
          <w:lang w:val="en-GB"/>
        </w:rPr>
        <w:t xml:space="preserve">effectiveness of the investigation satisfies the minimum threshold depends on the circumstances of the particular case. </w:t>
      </w:r>
      <w:r w:rsidRPr="00641D5D">
        <w:rPr>
          <w:rStyle w:val="sb8d990e2"/>
          <w:lang w:val="en-GB"/>
        </w:rPr>
        <w:t>For these reasons, the Panel considers that it will establish with regard to each case if all reasonable steps were taken to conduct an effective investigation as prescribed by Article 2,</w:t>
      </w:r>
      <w:r w:rsidR="00227B38" w:rsidRPr="00641D5D">
        <w:rPr>
          <w:rStyle w:val="sb8d990e2"/>
          <w:lang w:val="en-GB"/>
        </w:rPr>
        <w:t xml:space="preserve"> </w:t>
      </w:r>
      <w:r w:rsidRPr="00641D5D">
        <w:rPr>
          <w:rStyle w:val="sb8d990e2"/>
          <w:lang w:val="en-GB"/>
        </w:rPr>
        <w:t>having regard to the realities of the investigative work in Kosovo</w:t>
      </w:r>
      <w:r w:rsidR="00E92FFD" w:rsidRPr="00641D5D">
        <w:rPr>
          <w:rStyle w:val="sb8d990e2"/>
          <w:lang w:val="en-GB"/>
        </w:rPr>
        <w:t>.</w:t>
      </w:r>
    </w:p>
    <w:p w:rsidR="00F0530E" w:rsidRPr="00641D5D" w:rsidRDefault="00F0530E" w:rsidP="00BE6362">
      <w:pPr>
        <w:pStyle w:val="ListParagraph"/>
        <w:tabs>
          <w:tab w:val="num" w:pos="450"/>
        </w:tabs>
        <w:ind w:left="450" w:hanging="450"/>
        <w:rPr>
          <w:rStyle w:val="sb8d990e2"/>
          <w:lang w:val="en-GB"/>
        </w:rPr>
      </w:pPr>
    </w:p>
    <w:p w:rsidR="00641D5D" w:rsidRPr="00641D5D" w:rsidRDefault="00641D5D" w:rsidP="00641D5D">
      <w:pPr>
        <w:numPr>
          <w:ilvl w:val="0"/>
          <w:numId w:val="2"/>
        </w:numPr>
        <w:tabs>
          <w:tab w:val="clear" w:pos="360"/>
          <w:tab w:val="num" w:pos="450"/>
        </w:tabs>
        <w:ind w:left="450" w:hanging="450"/>
        <w:jc w:val="both"/>
        <w:rPr>
          <w:rStyle w:val="sb8d990e2"/>
        </w:rPr>
      </w:pPr>
      <w:bookmarkStart w:id="71" w:name="_Ref403727675"/>
      <w:r w:rsidRPr="00641D5D">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641D5D">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641D5D">
        <w:rPr>
          <w:color w:val="000000"/>
          <w:lang w:val="en-GB"/>
        </w:rPr>
        <w:t>(compare with ECtHR,</w:t>
      </w:r>
      <w:r w:rsidRPr="00641D5D">
        <w:rPr>
          <w:lang w:val="en-GB"/>
        </w:rPr>
        <w:t xml:space="preserve"> </w:t>
      </w:r>
      <w:r w:rsidRPr="00641D5D">
        <w:rPr>
          <w:i/>
          <w:iCs/>
        </w:rPr>
        <w:t>Aslakhanova and Others v. Russia</w:t>
      </w:r>
      <w:r w:rsidRPr="00641D5D">
        <w:rPr>
          <w:color w:val="000000"/>
          <w:lang w:val="en-GB"/>
        </w:rPr>
        <w:t xml:space="preserve">, </w:t>
      </w:r>
      <w:r w:rsidRPr="00641D5D">
        <w:t>cited in</w:t>
      </w:r>
      <w:r w:rsidRPr="00641D5D">
        <w:rPr>
          <w:color w:val="000000"/>
          <w:lang w:val="en-GB"/>
        </w:rPr>
        <w:t xml:space="preserve"> § </w:t>
      </w:r>
      <w:r w:rsidR="009C2A5A">
        <w:fldChar w:fldCharType="begin"/>
      </w:r>
      <w:r w:rsidR="009C2A5A">
        <w:instrText xml:space="preserve"> REF _Ref342300077 \r \h  \* MERGEFORMAT </w:instrText>
      </w:r>
      <w:r w:rsidR="009C2A5A">
        <w:fldChar w:fldCharType="separate"/>
      </w:r>
      <w:r w:rsidR="009C2A5A" w:rsidRPr="009C2A5A">
        <w:rPr>
          <w:color w:val="000000"/>
          <w:lang w:val="en-GB"/>
        </w:rPr>
        <w:t>177</w:t>
      </w:r>
      <w:r w:rsidR="009C2A5A">
        <w:fldChar w:fldCharType="end"/>
      </w:r>
      <w:r w:rsidRPr="00641D5D">
        <w:rPr>
          <w:color w:val="000000"/>
          <w:lang w:val="en-GB"/>
        </w:rPr>
        <w:t xml:space="preserve"> above, at § 123). The Panel also records systemic failures such as a deficient system of setting investigative priorities and lack of proper handover.</w:t>
      </w:r>
      <w:r w:rsidRPr="00641D5D">
        <w:t xml:space="preserve"> In the great majority of these cases the Panel has found that the </w:t>
      </w:r>
      <w:r w:rsidRPr="00641D5D">
        <w:lastRenderedPageBreak/>
        <w:t>investigations were not effective in the meaning of Article 2 and that UNMIK’s failures, which persisted throughout the period of the Panel’s jurisdiction, could not be justified in the light of difficulties encountered by UNMIK at the beginning of its mission.</w:t>
      </w:r>
      <w:bookmarkEnd w:id="71"/>
    </w:p>
    <w:p w:rsidR="00641D5D" w:rsidRPr="00641D5D" w:rsidRDefault="00641D5D" w:rsidP="00BE6362">
      <w:pPr>
        <w:pStyle w:val="ListParagraph"/>
        <w:tabs>
          <w:tab w:val="num" w:pos="450"/>
        </w:tabs>
        <w:ind w:left="450" w:hanging="450"/>
        <w:rPr>
          <w:rStyle w:val="sb8d990e2"/>
          <w:lang w:val="en-GB"/>
        </w:rPr>
      </w:pPr>
    </w:p>
    <w:p w:rsidR="00F0530E" w:rsidRPr="00F0555D" w:rsidRDefault="00F0530E" w:rsidP="00F0555D">
      <w:pPr>
        <w:pStyle w:val="ListParagraph"/>
        <w:numPr>
          <w:ilvl w:val="0"/>
          <w:numId w:val="5"/>
        </w:numPr>
        <w:tabs>
          <w:tab w:val="num" w:pos="270"/>
        </w:tabs>
        <w:suppressAutoHyphens w:val="0"/>
        <w:ind w:left="270" w:hanging="270"/>
        <w:contextualSpacing/>
        <w:jc w:val="both"/>
        <w:rPr>
          <w:i/>
          <w:lang w:eastAsia="en-US"/>
        </w:rPr>
      </w:pPr>
      <w:r w:rsidRPr="00F0555D">
        <w:rPr>
          <w:i/>
          <w:lang w:val="en-GB" w:eastAsia="en-US"/>
        </w:rPr>
        <w:t>Compliance</w:t>
      </w:r>
      <w:r w:rsidRPr="00F0555D">
        <w:rPr>
          <w:i/>
          <w:lang w:eastAsia="en-US"/>
        </w:rPr>
        <w:t xml:space="preserve"> with Article 2 in the present case</w:t>
      </w:r>
    </w:p>
    <w:p w:rsidR="00245E49" w:rsidRPr="00641D5D" w:rsidRDefault="00245E49" w:rsidP="00BE6362">
      <w:pPr>
        <w:pStyle w:val="ListParagraph"/>
        <w:tabs>
          <w:tab w:val="num" w:pos="450"/>
        </w:tabs>
        <w:ind w:left="450" w:hanging="450"/>
        <w:rPr>
          <w:rStyle w:val="sb8d990e2"/>
          <w:lang w:val="en-GB"/>
        </w:rPr>
      </w:pPr>
    </w:p>
    <w:p w:rsidR="00F378D0" w:rsidRPr="00641D5D" w:rsidRDefault="00CC3B3D" w:rsidP="003D4233">
      <w:pPr>
        <w:pStyle w:val="ListParagraph"/>
        <w:numPr>
          <w:ilvl w:val="0"/>
          <w:numId w:val="2"/>
        </w:numPr>
        <w:tabs>
          <w:tab w:val="clear" w:pos="360"/>
        </w:tabs>
        <w:autoSpaceDE w:val="0"/>
        <w:ind w:left="450" w:hanging="450"/>
        <w:jc w:val="both"/>
        <w:rPr>
          <w:bCs/>
          <w:color w:val="000000" w:themeColor="text1"/>
          <w:lang w:val="en-GB"/>
        </w:rPr>
      </w:pPr>
      <w:bookmarkStart w:id="72" w:name="_Ref384635390"/>
      <w:r w:rsidRPr="00641D5D">
        <w:rPr>
          <w:bCs/>
          <w:color w:val="000000" w:themeColor="text1"/>
          <w:lang w:val="en-GB"/>
        </w:rPr>
        <w:t xml:space="preserve">Turning to the particulars of this case, the Panel first notes </w:t>
      </w:r>
      <w:r w:rsidR="00463305" w:rsidRPr="00641D5D">
        <w:rPr>
          <w:color w:val="000000" w:themeColor="text1"/>
          <w:lang w:val="en-GB"/>
        </w:rPr>
        <w:t>that there i</w:t>
      </w:r>
      <w:r w:rsidR="0024522D" w:rsidRPr="00641D5D">
        <w:rPr>
          <w:color w:val="000000" w:themeColor="text1"/>
          <w:lang w:val="en-GB"/>
        </w:rPr>
        <w:t>s certain evidence of the investigation conducted by UNMIK authorities into the abduction and disappearance of</w:t>
      </w:r>
      <w:r w:rsidR="0024522D" w:rsidRPr="00641D5D">
        <w:rPr>
          <w:bCs/>
          <w:color w:val="000000" w:themeColor="text1"/>
        </w:rPr>
        <w:t xml:space="preserve"> Mr Slobodan Mitrović, Mr Milovan Krstić, </w:t>
      </w:r>
      <w:proofErr w:type="gramStart"/>
      <w:r w:rsidR="0024522D" w:rsidRPr="00641D5D">
        <w:rPr>
          <w:bCs/>
          <w:color w:val="000000" w:themeColor="text1"/>
        </w:rPr>
        <w:t>Mr</w:t>
      </w:r>
      <w:proofErr w:type="gramEnd"/>
      <w:r w:rsidR="0024522D" w:rsidRPr="00641D5D">
        <w:rPr>
          <w:bCs/>
          <w:color w:val="000000" w:themeColor="text1"/>
        </w:rPr>
        <w:t xml:space="preserve"> Miodrag Krsti</w:t>
      </w:r>
      <w:r w:rsidR="0024522D" w:rsidRPr="00641D5D">
        <w:rPr>
          <w:bCs/>
          <w:color w:val="000000" w:themeColor="text1"/>
          <w:lang w:val="sr-Latn-CS"/>
        </w:rPr>
        <w:t xml:space="preserve">ć, </w:t>
      </w:r>
      <w:r w:rsidR="0024522D" w:rsidRPr="00641D5D">
        <w:rPr>
          <w:bCs/>
          <w:color w:val="000000" w:themeColor="text1"/>
        </w:rPr>
        <w:t>Mr Živorad Krstić and Mr Miroslav Šuljinić.</w:t>
      </w:r>
      <w:r w:rsidR="00FD7576" w:rsidRPr="00641D5D">
        <w:rPr>
          <w:bCs/>
          <w:color w:val="000000" w:themeColor="text1"/>
        </w:rPr>
        <w:t xml:space="preserve"> </w:t>
      </w:r>
      <w:r w:rsidR="00887CB9" w:rsidRPr="00641D5D">
        <w:rPr>
          <w:bCs/>
          <w:color w:val="000000" w:themeColor="text1"/>
        </w:rPr>
        <w:t>However, the Panel also notes that all of those investigative actions, with exception of the investigation by UNMIK IP and WCIU in 2006 – 2008</w:t>
      </w:r>
      <w:r w:rsidR="00CA447D" w:rsidRPr="00641D5D">
        <w:rPr>
          <w:bCs/>
          <w:color w:val="000000" w:themeColor="text1"/>
        </w:rPr>
        <w:t xml:space="preserve"> </w:t>
      </w:r>
      <w:r w:rsidR="00CA447D" w:rsidRPr="00641D5D">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CA447D" w:rsidRPr="00641D5D">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CA447D" w:rsidRPr="00641D5D">
        <w:rPr>
          <w:color w:val="000000" w:themeColor="text1"/>
          <w:lang w:val="en-GB"/>
        </w:rPr>
        <w:t xml:space="preserve"> above)</w:t>
      </w:r>
      <w:r w:rsidR="00887CB9" w:rsidRPr="00641D5D">
        <w:rPr>
          <w:bCs/>
          <w:color w:val="000000" w:themeColor="text1"/>
        </w:rPr>
        <w:t xml:space="preserve">, </w:t>
      </w:r>
      <w:r w:rsidR="00FD7576" w:rsidRPr="00641D5D">
        <w:rPr>
          <w:bCs/>
          <w:color w:val="000000" w:themeColor="text1"/>
        </w:rPr>
        <w:t xml:space="preserve">lay outside of the Panel’s temporal jurisdiction (see § </w:t>
      </w:r>
      <w:r w:rsidR="009C2A5A">
        <w:fldChar w:fldCharType="begin"/>
      </w:r>
      <w:r w:rsidR="009C2A5A">
        <w:instrText xml:space="preserve"> REF _Ref401157489 \r \h  \* MERGEFORMAT </w:instrText>
      </w:r>
      <w:r w:rsidR="009C2A5A">
        <w:fldChar w:fldCharType="separate"/>
      </w:r>
      <w:r w:rsidR="009C2A5A" w:rsidRPr="009C2A5A">
        <w:rPr>
          <w:bCs/>
          <w:color w:val="000000" w:themeColor="text1"/>
        </w:rPr>
        <w:t>140</w:t>
      </w:r>
      <w:r w:rsidR="009C2A5A">
        <w:fldChar w:fldCharType="end"/>
      </w:r>
      <w:r w:rsidR="00FD7576" w:rsidRPr="00641D5D">
        <w:rPr>
          <w:bCs/>
          <w:color w:val="000000" w:themeColor="text1"/>
        </w:rPr>
        <w:t xml:space="preserve"> above).</w:t>
      </w:r>
    </w:p>
    <w:p w:rsidR="00F378D0" w:rsidRPr="00641D5D" w:rsidRDefault="00F378D0" w:rsidP="00F378D0">
      <w:pPr>
        <w:pStyle w:val="ListParagraph"/>
        <w:autoSpaceDE w:val="0"/>
        <w:ind w:left="450"/>
        <w:jc w:val="both"/>
        <w:rPr>
          <w:bCs/>
          <w:color w:val="000000" w:themeColor="text1"/>
          <w:lang w:val="en-GB"/>
        </w:rPr>
      </w:pPr>
    </w:p>
    <w:p w:rsidR="0024522D" w:rsidRPr="00641D5D" w:rsidRDefault="00FD7576" w:rsidP="003D4233">
      <w:pPr>
        <w:pStyle w:val="ListParagraph"/>
        <w:numPr>
          <w:ilvl w:val="0"/>
          <w:numId w:val="2"/>
        </w:numPr>
        <w:tabs>
          <w:tab w:val="clear" w:pos="360"/>
        </w:tabs>
        <w:autoSpaceDE w:val="0"/>
        <w:ind w:left="450" w:hanging="450"/>
        <w:jc w:val="both"/>
        <w:rPr>
          <w:bCs/>
          <w:color w:val="000000" w:themeColor="text1"/>
          <w:lang w:val="en-GB"/>
        </w:rPr>
      </w:pPr>
      <w:r w:rsidRPr="00641D5D">
        <w:rPr>
          <w:bCs/>
          <w:color w:val="000000" w:themeColor="text1"/>
        </w:rPr>
        <w:t xml:space="preserve">In this </w:t>
      </w:r>
      <w:r w:rsidR="002713B8" w:rsidRPr="00641D5D">
        <w:rPr>
          <w:bCs/>
          <w:color w:val="000000" w:themeColor="text1"/>
        </w:rPr>
        <w:t xml:space="preserve">particular </w:t>
      </w:r>
      <w:r w:rsidRPr="00641D5D">
        <w:rPr>
          <w:bCs/>
          <w:color w:val="000000" w:themeColor="text1"/>
        </w:rPr>
        <w:t>case, i</w:t>
      </w:r>
      <w:r w:rsidR="0024522D" w:rsidRPr="00641D5D">
        <w:rPr>
          <w:bCs/>
          <w:color w:val="000000" w:themeColor="text1"/>
        </w:rPr>
        <w:t xml:space="preserve">t is </w:t>
      </w:r>
      <w:r w:rsidRPr="00641D5D">
        <w:rPr>
          <w:bCs/>
          <w:color w:val="000000" w:themeColor="text1"/>
        </w:rPr>
        <w:t xml:space="preserve">clear </w:t>
      </w:r>
      <w:r w:rsidR="0024522D" w:rsidRPr="00641D5D">
        <w:rPr>
          <w:bCs/>
          <w:color w:val="000000" w:themeColor="text1"/>
        </w:rPr>
        <w:t xml:space="preserve">that </w:t>
      </w:r>
      <w:r w:rsidRPr="00641D5D">
        <w:rPr>
          <w:bCs/>
          <w:color w:val="000000" w:themeColor="text1"/>
        </w:rPr>
        <w:t>the</w:t>
      </w:r>
      <w:r w:rsidR="0024522D" w:rsidRPr="00641D5D">
        <w:rPr>
          <w:bCs/>
          <w:color w:val="000000" w:themeColor="text1"/>
        </w:rPr>
        <w:t xml:space="preserve"> </w:t>
      </w:r>
      <w:r w:rsidR="0024522D" w:rsidRPr="00641D5D">
        <w:rPr>
          <w:color w:val="000000" w:themeColor="text1"/>
          <w:lang w:val="en-GB"/>
        </w:rPr>
        <w:t xml:space="preserve">abduction and disappearance </w:t>
      </w:r>
      <w:r w:rsidRPr="00641D5D">
        <w:rPr>
          <w:color w:val="000000" w:themeColor="text1"/>
          <w:lang w:val="en-GB"/>
        </w:rPr>
        <w:t xml:space="preserve">of </w:t>
      </w:r>
      <w:r w:rsidRPr="00641D5D">
        <w:rPr>
          <w:bCs/>
          <w:color w:val="000000" w:themeColor="text1"/>
        </w:rPr>
        <w:t xml:space="preserve">Mr Slobodan Mitrović, Mr Milovan Krstić, </w:t>
      </w:r>
      <w:proofErr w:type="gramStart"/>
      <w:r w:rsidRPr="00641D5D">
        <w:rPr>
          <w:bCs/>
          <w:color w:val="000000" w:themeColor="text1"/>
        </w:rPr>
        <w:t>Mr</w:t>
      </w:r>
      <w:proofErr w:type="gramEnd"/>
      <w:r w:rsidRPr="00641D5D">
        <w:rPr>
          <w:bCs/>
          <w:color w:val="000000" w:themeColor="text1"/>
        </w:rPr>
        <w:t xml:space="preserve"> Miodrag Krsti</w:t>
      </w:r>
      <w:r w:rsidRPr="00641D5D">
        <w:rPr>
          <w:bCs/>
          <w:color w:val="000000" w:themeColor="text1"/>
          <w:lang w:val="sr-Latn-CS"/>
        </w:rPr>
        <w:t xml:space="preserve">ć, </w:t>
      </w:r>
      <w:r w:rsidRPr="00641D5D">
        <w:rPr>
          <w:bCs/>
          <w:color w:val="000000" w:themeColor="text1"/>
        </w:rPr>
        <w:t>Mr Živorad Krstić and Mr Miroslav Šuljinić</w:t>
      </w:r>
      <w:r w:rsidRPr="00641D5D">
        <w:rPr>
          <w:color w:val="000000" w:themeColor="text1"/>
          <w:lang w:val="en-GB"/>
        </w:rPr>
        <w:t xml:space="preserve"> </w:t>
      </w:r>
      <w:r w:rsidR="0024522D" w:rsidRPr="00641D5D">
        <w:rPr>
          <w:color w:val="000000" w:themeColor="text1"/>
          <w:lang w:val="en-GB"/>
        </w:rPr>
        <w:t>w</w:t>
      </w:r>
      <w:r w:rsidR="002713B8" w:rsidRPr="00641D5D">
        <w:rPr>
          <w:color w:val="000000" w:themeColor="text1"/>
          <w:lang w:val="en-GB"/>
        </w:rPr>
        <w:t xml:space="preserve">ere the </w:t>
      </w:r>
      <w:r w:rsidR="0024522D" w:rsidRPr="00641D5D">
        <w:rPr>
          <w:color w:val="000000" w:themeColor="text1"/>
          <w:lang w:val="en-GB"/>
        </w:rPr>
        <w:t xml:space="preserve">subject of </w:t>
      </w:r>
      <w:r w:rsidR="002713B8" w:rsidRPr="00641D5D">
        <w:rPr>
          <w:color w:val="000000" w:themeColor="text1"/>
          <w:lang w:val="en-GB"/>
        </w:rPr>
        <w:t xml:space="preserve">an </w:t>
      </w:r>
      <w:r w:rsidR="0024522D" w:rsidRPr="00641D5D">
        <w:rPr>
          <w:bCs/>
          <w:color w:val="000000" w:themeColor="text1"/>
        </w:rPr>
        <w:t>ICTY investigation in the case no. IT-03-66</w:t>
      </w:r>
      <w:r w:rsidR="00B55961" w:rsidRPr="00641D5D">
        <w:rPr>
          <w:bCs/>
          <w:color w:val="000000" w:themeColor="text1"/>
        </w:rPr>
        <w:t>,</w:t>
      </w:r>
      <w:r w:rsidR="0024522D" w:rsidRPr="00641D5D">
        <w:rPr>
          <w:bCs/>
          <w:color w:val="000000" w:themeColor="text1"/>
        </w:rPr>
        <w:t xml:space="preserve"> </w:t>
      </w:r>
      <w:r w:rsidR="0024522D" w:rsidRPr="00641D5D">
        <w:rPr>
          <w:bCs/>
          <w:i/>
          <w:color w:val="000000" w:themeColor="text1"/>
        </w:rPr>
        <w:t>Limaj</w:t>
      </w:r>
      <w:r w:rsidR="00B55961" w:rsidRPr="00641D5D">
        <w:rPr>
          <w:bCs/>
          <w:i/>
          <w:color w:val="000000" w:themeColor="text1"/>
        </w:rPr>
        <w:t xml:space="preserve"> et al</w:t>
      </w:r>
      <w:r w:rsidR="0024522D" w:rsidRPr="00641D5D">
        <w:rPr>
          <w:bCs/>
          <w:color w:val="000000" w:themeColor="text1"/>
        </w:rPr>
        <w:t xml:space="preserve"> (see § </w:t>
      </w:r>
      <w:r w:rsidR="009C2A5A">
        <w:fldChar w:fldCharType="begin"/>
      </w:r>
      <w:r w:rsidR="009C2A5A">
        <w:instrText xml:space="preserve"> REF _Ref391911144 \r \h  \* MERGEFORMAT </w:instrText>
      </w:r>
      <w:r w:rsidR="009C2A5A">
        <w:fldChar w:fldCharType="separate"/>
      </w:r>
      <w:r w:rsidR="009C2A5A" w:rsidRPr="009C2A5A">
        <w:rPr>
          <w:bCs/>
          <w:color w:val="000000" w:themeColor="text1"/>
        </w:rPr>
        <w:t>129</w:t>
      </w:r>
      <w:r w:rsidR="009C2A5A">
        <w:fldChar w:fldCharType="end"/>
      </w:r>
      <w:r w:rsidR="0024522D" w:rsidRPr="00641D5D">
        <w:rPr>
          <w:bCs/>
          <w:color w:val="000000" w:themeColor="text1"/>
        </w:rPr>
        <w:t xml:space="preserve"> - </w:t>
      </w:r>
      <w:r w:rsidR="009C2A5A">
        <w:fldChar w:fldCharType="begin"/>
      </w:r>
      <w:r w:rsidR="009C2A5A">
        <w:instrText xml:space="preserve"> REF _Ref398292827 \r \h  \* MERGEFORMAT </w:instrText>
      </w:r>
      <w:r w:rsidR="009C2A5A">
        <w:fldChar w:fldCharType="separate"/>
      </w:r>
      <w:r w:rsidR="009C2A5A" w:rsidRPr="009C2A5A">
        <w:rPr>
          <w:bCs/>
          <w:color w:val="000000" w:themeColor="text1"/>
        </w:rPr>
        <w:t>133</w:t>
      </w:r>
      <w:r w:rsidR="009C2A5A">
        <w:fldChar w:fldCharType="end"/>
      </w:r>
      <w:r w:rsidR="0024522D" w:rsidRPr="00641D5D">
        <w:rPr>
          <w:bCs/>
          <w:color w:val="000000" w:themeColor="text1"/>
        </w:rPr>
        <w:t xml:space="preserve"> above). </w:t>
      </w:r>
      <w:r w:rsidR="00F63CAF" w:rsidRPr="00641D5D">
        <w:rPr>
          <w:bCs/>
          <w:color w:val="000000" w:themeColor="text1"/>
        </w:rPr>
        <w:t xml:space="preserve">The indictment in this case, filed by the OTP on </w:t>
      </w:r>
      <w:r w:rsidR="00F63CAF" w:rsidRPr="00641D5D">
        <w:rPr>
          <w:color w:val="000000" w:themeColor="text1"/>
        </w:rPr>
        <w:t>24 January 2003, charge</w:t>
      </w:r>
      <w:r w:rsidRPr="00641D5D">
        <w:rPr>
          <w:color w:val="000000" w:themeColor="text1"/>
        </w:rPr>
        <w:t>d</w:t>
      </w:r>
      <w:r w:rsidR="00F63CAF" w:rsidRPr="00641D5D">
        <w:rPr>
          <w:color w:val="000000" w:themeColor="text1"/>
        </w:rPr>
        <w:t xml:space="preserve"> </w:t>
      </w:r>
      <w:r w:rsidRPr="00641D5D">
        <w:rPr>
          <w:color w:val="000000" w:themeColor="text1"/>
        </w:rPr>
        <w:t xml:space="preserve">the accused with </w:t>
      </w:r>
      <w:r w:rsidR="00F63CAF" w:rsidRPr="00641D5D">
        <w:rPr>
          <w:bCs/>
          <w:color w:val="000000" w:themeColor="text1"/>
        </w:rPr>
        <w:t xml:space="preserve">instigation, ordering and planning </w:t>
      </w:r>
      <w:r w:rsidRPr="00641D5D">
        <w:rPr>
          <w:bCs/>
          <w:color w:val="000000" w:themeColor="text1"/>
        </w:rPr>
        <w:t>of their murders</w:t>
      </w:r>
      <w:r w:rsidR="00F63CAF" w:rsidRPr="00641D5D">
        <w:rPr>
          <w:bCs/>
          <w:color w:val="000000" w:themeColor="text1"/>
        </w:rPr>
        <w:t xml:space="preserve">, while they were detained by the KLA. </w:t>
      </w:r>
      <w:r w:rsidRPr="00641D5D">
        <w:rPr>
          <w:bCs/>
          <w:color w:val="000000" w:themeColor="text1"/>
        </w:rPr>
        <w:t>However, o</w:t>
      </w:r>
      <w:r w:rsidR="00F63CAF" w:rsidRPr="00641D5D">
        <w:rPr>
          <w:bCs/>
          <w:color w:val="000000" w:themeColor="text1"/>
        </w:rPr>
        <w:t xml:space="preserve">n 27 </w:t>
      </w:r>
      <w:r w:rsidR="00F63CAF" w:rsidRPr="00641D5D">
        <w:rPr>
          <w:color w:val="000000" w:themeColor="text1"/>
        </w:rPr>
        <w:t xml:space="preserve">September 2007, </w:t>
      </w:r>
      <w:r w:rsidR="0024522D" w:rsidRPr="00641D5D">
        <w:rPr>
          <w:bCs/>
          <w:color w:val="000000" w:themeColor="text1"/>
        </w:rPr>
        <w:t xml:space="preserve">the ICTY Appeals Chamber found all accused </w:t>
      </w:r>
      <w:r w:rsidR="00B55961" w:rsidRPr="00641D5D">
        <w:rPr>
          <w:bCs/>
          <w:color w:val="000000" w:themeColor="text1"/>
        </w:rPr>
        <w:t xml:space="preserve">to be </w:t>
      </w:r>
      <w:r w:rsidR="0024522D" w:rsidRPr="00641D5D">
        <w:rPr>
          <w:bCs/>
          <w:color w:val="000000" w:themeColor="text1"/>
        </w:rPr>
        <w:t>not guilty wi</w:t>
      </w:r>
      <w:r w:rsidR="00F63CAF" w:rsidRPr="00641D5D">
        <w:rPr>
          <w:bCs/>
          <w:color w:val="000000" w:themeColor="text1"/>
        </w:rPr>
        <w:t xml:space="preserve">th regard to the alleged crimes, including </w:t>
      </w:r>
      <w:r w:rsidRPr="00641D5D">
        <w:rPr>
          <w:bCs/>
          <w:color w:val="000000" w:themeColor="text1"/>
        </w:rPr>
        <w:t>those against the complainants’ relatives.</w:t>
      </w:r>
    </w:p>
    <w:bookmarkEnd w:id="72"/>
    <w:p w:rsidR="00FD7576" w:rsidRPr="00641D5D" w:rsidRDefault="00FD7576" w:rsidP="00FD7576">
      <w:pPr>
        <w:pStyle w:val="ListParagraph"/>
        <w:rPr>
          <w:color w:val="000000" w:themeColor="text1"/>
          <w:lang w:val="en-GB"/>
        </w:rPr>
      </w:pPr>
    </w:p>
    <w:p w:rsidR="00F03FD8" w:rsidRPr="00641D5D" w:rsidRDefault="00F03FD8" w:rsidP="00F03FD8">
      <w:pPr>
        <w:numPr>
          <w:ilvl w:val="0"/>
          <w:numId w:val="2"/>
        </w:numPr>
        <w:tabs>
          <w:tab w:val="clear" w:pos="360"/>
          <w:tab w:val="num" w:pos="450"/>
        </w:tabs>
        <w:autoSpaceDE w:val="0"/>
        <w:spacing w:after="120"/>
        <w:ind w:left="450" w:hanging="450"/>
        <w:contextualSpacing/>
        <w:jc w:val="both"/>
        <w:rPr>
          <w:color w:val="000000" w:themeColor="text1"/>
          <w:lang w:val="en-GB"/>
        </w:rPr>
      </w:pPr>
      <w:r w:rsidRPr="00641D5D">
        <w:rPr>
          <w:color w:val="000000" w:themeColor="text1"/>
          <w:lang w:val="en-GB"/>
        </w:rPr>
        <w:t xml:space="preserve">As an outset, the </w:t>
      </w:r>
      <w:r w:rsidR="00F378D0" w:rsidRPr="00641D5D">
        <w:rPr>
          <w:color w:val="000000" w:themeColor="text1"/>
          <w:lang w:val="en-GB"/>
        </w:rPr>
        <w:t xml:space="preserve">Panel </w:t>
      </w:r>
      <w:r w:rsidRPr="00641D5D">
        <w:rPr>
          <w:color w:val="000000" w:themeColor="text1"/>
          <w:lang w:val="en-GB"/>
        </w:rPr>
        <w:t xml:space="preserve">stresses that it </w:t>
      </w:r>
      <w:r w:rsidR="00F378D0" w:rsidRPr="00641D5D">
        <w:rPr>
          <w:color w:val="000000" w:themeColor="text1"/>
          <w:lang w:val="en-GB"/>
        </w:rPr>
        <w:t>does not dispute the ICTY’s overall primacy jurisdiction to investigate any crime within its jurisdiction committed in the territory of the former Yugoslavia, due to its recognised international status under the UN Security Council’s Resolution 827 (1993)</w:t>
      </w:r>
      <w:r w:rsidRPr="00641D5D">
        <w:rPr>
          <w:color w:val="000000" w:themeColor="text1"/>
          <w:lang w:val="en-GB"/>
        </w:rPr>
        <w:t xml:space="preserve">. </w:t>
      </w:r>
      <w:r w:rsidR="00E32D7C" w:rsidRPr="00641D5D">
        <w:rPr>
          <w:color w:val="000000" w:themeColor="text1"/>
          <w:lang w:val="en-GB"/>
        </w:rPr>
        <w:t xml:space="preserve">However, </w:t>
      </w:r>
      <w:r w:rsidRPr="00641D5D">
        <w:rPr>
          <w:color w:val="000000" w:themeColor="text1"/>
          <w:lang w:val="en-GB"/>
        </w:rPr>
        <w:t>the Panel considers that the aspect that still needs to be examined from the perspective of the procedural obligation under Article 2 of the ECHR is whether any obligation under this Article, besides cooperation and provision of assistance t</w:t>
      </w:r>
      <w:r w:rsidR="002713B8" w:rsidRPr="00641D5D">
        <w:rPr>
          <w:color w:val="000000" w:themeColor="text1"/>
          <w:lang w:val="en-GB"/>
        </w:rPr>
        <w:t>o the ICTY, remained with UNMIK during the period of the Panel’s jurisdiction.</w:t>
      </w:r>
    </w:p>
    <w:p w:rsidR="00F03FD8" w:rsidRPr="00641D5D" w:rsidRDefault="00F03FD8" w:rsidP="00F03FD8">
      <w:pPr>
        <w:pStyle w:val="ListParagraph"/>
        <w:rPr>
          <w:color w:val="000000" w:themeColor="text1"/>
          <w:lang w:val="en-GB"/>
        </w:rPr>
      </w:pPr>
    </w:p>
    <w:p w:rsidR="00521505" w:rsidRPr="00641418" w:rsidRDefault="00923977" w:rsidP="00521505">
      <w:pPr>
        <w:numPr>
          <w:ilvl w:val="0"/>
          <w:numId w:val="2"/>
        </w:numPr>
        <w:tabs>
          <w:tab w:val="clear" w:pos="360"/>
          <w:tab w:val="num" w:pos="450"/>
        </w:tabs>
        <w:ind w:left="450" w:hanging="450"/>
        <w:jc w:val="both"/>
        <w:rPr>
          <w:bCs/>
          <w:color w:val="000000" w:themeColor="text1"/>
        </w:rPr>
      </w:pPr>
      <w:r w:rsidRPr="00641D5D">
        <w:rPr>
          <w:bCs/>
          <w:color w:val="000000" w:themeColor="text1"/>
        </w:rPr>
        <w:t>In this respect, t</w:t>
      </w:r>
      <w:r w:rsidR="00521505" w:rsidRPr="00641D5D">
        <w:rPr>
          <w:bCs/>
          <w:color w:val="000000" w:themeColor="text1"/>
        </w:rPr>
        <w:t>he Panel recalls that</w:t>
      </w:r>
      <w:r w:rsidR="002713B8" w:rsidRPr="00641D5D">
        <w:rPr>
          <w:bCs/>
          <w:color w:val="000000" w:themeColor="text1"/>
        </w:rPr>
        <w:t>,</w:t>
      </w:r>
      <w:r w:rsidR="00521505" w:rsidRPr="00641D5D">
        <w:rPr>
          <w:bCs/>
          <w:color w:val="000000" w:themeColor="text1"/>
        </w:rPr>
        <w:t xml:space="preserve">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(see § </w:t>
      </w:r>
      <w:r w:rsidR="009C2A5A">
        <w:fldChar w:fldCharType="begin"/>
      </w:r>
      <w:r w:rsidR="009C2A5A">
        <w:instrText xml:space="preserve"> REF _Ref401155332 \r \h  \* MERGEFORMAT </w:instrText>
      </w:r>
      <w:r w:rsidR="009C2A5A">
        <w:fldChar w:fldCharType="separate"/>
      </w:r>
      <w:r w:rsidR="009C2A5A" w:rsidRPr="009C2A5A">
        <w:rPr>
          <w:bCs/>
          <w:color w:val="000000" w:themeColor="text1"/>
        </w:rPr>
        <w:t>159</w:t>
      </w:r>
      <w:r w:rsidR="009C2A5A">
        <w:fldChar w:fldCharType="end"/>
      </w:r>
      <w:r w:rsidR="00521505" w:rsidRPr="00641D5D">
        <w:rPr>
          <w:bCs/>
          <w:color w:val="000000" w:themeColor="text1"/>
        </w:rPr>
        <w:t xml:space="preserve"> above). In</w:t>
      </w:r>
      <w:r w:rsidR="00521505" w:rsidRPr="00641418">
        <w:rPr>
          <w:bCs/>
          <w:color w:val="000000" w:themeColor="text1"/>
        </w:rPr>
        <w:t xml:space="preserve"> addition, the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[RoP].”</w:t>
      </w:r>
      <w:r w:rsidR="00521505" w:rsidRPr="00641418">
        <w:rPr>
          <w:rStyle w:val="FootnoteReference"/>
          <w:bCs/>
          <w:color w:val="000000" w:themeColor="text1"/>
        </w:rPr>
        <w:footnoteReference w:id="19"/>
      </w:r>
    </w:p>
    <w:p w:rsidR="00521505" w:rsidRPr="00641418" w:rsidRDefault="00521505" w:rsidP="00521505">
      <w:pPr>
        <w:pStyle w:val="ListParagraph"/>
        <w:rPr>
          <w:bCs/>
          <w:color w:val="000000" w:themeColor="text1"/>
        </w:rPr>
      </w:pPr>
    </w:p>
    <w:p w:rsidR="00F03FD8" w:rsidRPr="00641418" w:rsidRDefault="002713B8" w:rsidP="002E0682">
      <w:pPr>
        <w:numPr>
          <w:ilvl w:val="0"/>
          <w:numId w:val="2"/>
        </w:numPr>
        <w:tabs>
          <w:tab w:val="clear" w:pos="360"/>
          <w:tab w:val="num" w:pos="450"/>
        </w:tabs>
        <w:spacing w:after="120"/>
        <w:ind w:left="450" w:hanging="450"/>
        <w:contextualSpacing/>
        <w:jc w:val="both"/>
        <w:rPr>
          <w:color w:val="000000" w:themeColor="text1"/>
          <w:lang w:val="en-GB"/>
        </w:rPr>
      </w:pPr>
      <w:r w:rsidRPr="00641418">
        <w:rPr>
          <w:color w:val="000000" w:themeColor="text1"/>
          <w:lang w:val="en-GB"/>
        </w:rPr>
        <w:t>I</w:t>
      </w:r>
      <w:r w:rsidR="00F03FD8" w:rsidRPr="00641418">
        <w:rPr>
          <w:color w:val="000000" w:themeColor="text1"/>
          <w:lang w:val="en-GB"/>
        </w:rPr>
        <w:t>n the Panel’s view, th</w:t>
      </w:r>
      <w:r w:rsidR="00521505" w:rsidRPr="00641418">
        <w:rPr>
          <w:color w:val="000000" w:themeColor="text1"/>
          <w:lang w:val="en-GB"/>
        </w:rPr>
        <w:t>e</w:t>
      </w:r>
      <w:r w:rsidR="00F03FD8" w:rsidRPr="00641418">
        <w:rPr>
          <w:color w:val="000000" w:themeColor="text1"/>
          <w:lang w:val="en-GB"/>
        </w:rPr>
        <w:t xml:space="preserve"> “primacy” </w:t>
      </w:r>
      <w:r w:rsidR="00E32D7C" w:rsidRPr="00641418">
        <w:rPr>
          <w:color w:val="000000" w:themeColor="text1"/>
          <w:lang w:val="en-GB"/>
        </w:rPr>
        <w:t xml:space="preserve">of the ICTY’s jurisdiction </w:t>
      </w:r>
      <w:r w:rsidR="00F03FD8" w:rsidRPr="00641418">
        <w:rPr>
          <w:color w:val="000000" w:themeColor="text1"/>
          <w:lang w:val="en-GB"/>
        </w:rPr>
        <w:t>is not absolute</w:t>
      </w:r>
      <w:r w:rsidR="00521505" w:rsidRPr="00641418">
        <w:rPr>
          <w:color w:val="000000" w:themeColor="text1"/>
          <w:lang w:val="en-GB"/>
        </w:rPr>
        <w:t xml:space="preserve">. Indeed, Rules 8 </w:t>
      </w:r>
      <w:r w:rsidRPr="00641418">
        <w:rPr>
          <w:color w:val="000000" w:themeColor="text1"/>
          <w:lang w:val="en-GB"/>
        </w:rPr>
        <w:t>-</w:t>
      </w:r>
      <w:r w:rsidR="00521505" w:rsidRPr="00641418">
        <w:rPr>
          <w:color w:val="000000" w:themeColor="text1"/>
          <w:lang w:val="en-GB"/>
        </w:rPr>
        <w:t xml:space="preserve"> 10 of the ICTY’s RoP set forth the conditions for </w:t>
      </w:r>
      <w:r w:rsidR="00E32D7C" w:rsidRPr="00641418">
        <w:rPr>
          <w:color w:val="000000" w:themeColor="text1"/>
          <w:lang w:val="en-GB"/>
        </w:rPr>
        <w:t xml:space="preserve">its right to </w:t>
      </w:r>
      <w:r w:rsidRPr="00641418">
        <w:rPr>
          <w:color w:val="000000" w:themeColor="text1"/>
          <w:lang w:val="en-GB"/>
        </w:rPr>
        <w:t xml:space="preserve">take </w:t>
      </w:r>
      <w:r w:rsidR="00E32D7C" w:rsidRPr="00641418">
        <w:rPr>
          <w:color w:val="000000" w:themeColor="text1"/>
          <w:lang w:val="en-GB"/>
        </w:rPr>
        <w:t>over investigation</w:t>
      </w:r>
      <w:r w:rsidR="00521505" w:rsidRPr="00641418">
        <w:rPr>
          <w:color w:val="000000" w:themeColor="text1"/>
          <w:lang w:val="en-GB"/>
        </w:rPr>
        <w:t xml:space="preserve">s </w:t>
      </w:r>
      <w:r w:rsidRPr="00641418">
        <w:rPr>
          <w:color w:val="000000" w:themeColor="text1"/>
          <w:lang w:val="en-GB"/>
        </w:rPr>
        <w:t xml:space="preserve">and </w:t>
      </w:r>
      <w:r w:rsidRPr="00641418">
        <w:rPr>
          <w:color w:val="000000" w:themeColor="text1"/>
          <w:lang w:val="en-GB"/>
        </w:rPr>
        <w:lastRenderedPageBreak/>
        <w:t>establish</w:t>
      </w:r>
      <w:r w:rsidR="00521505" w:rsidRPr="00641418">
        <w:rPr>
          <w:color w:val="000000" w:themeColor="text1"/>
          <w:lang w:val="en-GB"/>
        </w:rPr>
        <w:t xml:space="preserve"> the </w:t>
      </w:r>
      <w:r w:rsidR="00E32D7C" w:rsidRPr="00641418">
        <w:rPr>
          <w:color w:val="000000" w:themeColor="text1"/>
          <w:lang w:val="en-GB"/>
        </w:rPr>
        <w:t>formal procedures</w:t>
      </w:r>
      <w:r w:rsidR="00521505" w:rsidRPr="00641418">
        <w:rPr>
          <w:color w:val="000000" w:themeColor="text1"/>
          <w:lang w:val="en-GB"/>
        </w:rPr>
        <w:t xml:space="preserve"> to be followed. </w:t>
      </w:r>
      <w:r w:rsidR="00521505" w:rsidRPr="00641418">
        <w:rPr>
          <w:rStyle w:val="apple-converted-space"/>
          <w:color w:val="000000" w:themeColor="text1"/>
          <w:lang w:val="en-GB"/>
        </w:rPr>
        <w:t>Rule 8 of the ICTY RoP states: “</w:t>
      </w:r>
      <w:r w:rsidR="00521505" w:rsidRPr="00641418">
        <w:rPr>
          <w:color w:val="000000" w:themeColor="text1"/>
        </w:rPr>
        <w:t>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w:t>
      </w:r>
      <w:r w:rsidR="00923977" w:rsidRPr="00641418">
        <w:rPr>
          <w:color w:val="000000" w:themeColor="text1"/>
        </w:rPr>
        <w:t xml:space="preserve"> </w:t>
      </w:r>
      <w:r w:rsidR="00521505" w:rsidRPr="00641418">
        <w:rPr>
          <w:color w:val="000000" w:themeColor="text1"/>
          <w:lang w:val="en-GB"/>
        </w:rPr>
        <w:t>Rule</w:t>
      </w:r>
      <w:r w:rsidRPr="00641418">
        <w:rPr>
          <w:color w:val="000000" w:themeColor="text1"/>
          <w:lang w:val="en-GB"/>
        </w:rPr>
        <w:t>s</w:t>
      </w:r>
      <w:r w:rsidR="00F378D0" w:rsidRPr="00641418">
        <w:rPr>
          <w:color w:val="000000" w:themeColor="text1"/>
          <w:lang w:val="en-GB"/>
        </w:rPr>
        <w:t xml:space="preserve"> 9 </w:t>
      </w:r>
      <w:r w:rsidR="002E0682" w:rsidRPr="00641418">
        <w:rPr>
          <w:color w:val="000000" w:themeColor="text1"/>
          <w:lang w:val="en-GB"/>
        </w:rPr>
        <w:t xml:space="preserve">and 10 clarify that </w:t>
      </w:r>
      <w:r w:rsidR="00923977" w:rsidRPr="00641418">
        <w:rPr>
          <w:color w:val="000000" w:themeColor="text1"/>
          <w:lang w:val="en-GB"/>
        </w:rPr>
        <w:t>when the</w:t>
      </w:r>
      <w:r w:rsidR="002E0682" w:rsidRPr="00641418">
        <w:rPr>
          <w:color w:val="000000" w:themeColor="text1"/>
          <w:lang w:val="en-GB"/>
        </w:rPr>
        <w:t xml:space="preserve"> conditions are met, </w:t>
      </w:r>
      <w:r w:rsidR="0038216C" w:rsidRPr="00641418">
        <w:rPr>
          <w:bCs/>
          <w:color w:val="000000" w:themeColor="text1"/>
        </w:rPr>
        <w:t>upon the Prosecutor’s request, the responsible Trial Chamber may formal</w:t>
      </w:r>
      <w:r w:rsidR="002E0682" w:rsidRPr="00641418">
        <w:rPr>
          <w:bCs/>
          <w:color w:val="000000" w:themeColor="text1"/>
        </w:rPr>
        <w:t>ly</w:t>
      </w:r>
      <w:r w:rsidR="0038216C" w:rsidRPr="00641418">
        <w:rPr>
          <w:bCs/>
          <w:color w:val="000000" w:themeColor="text1"/>
        </w:rPr>
        <w:t xml:space="preserve"> request </w:t>
      </w:r>
      <w:r w:rsidR="002E0682" w:rsidRPr="00641418">
        <w:rPr>
          <w:bCs/>
          <w:color w:val="000000" w:themeColor="text1"/>
        </w:rPr>
        <w:t>the relevant national court to</w:t>
      </w:r>
      <w:r w:rsidR="0038216C" w:rsidRPr="00641418">
        <w:rPr>
          <w:bCs/>
          <w:color w:val="000000" w:themeColor="text1"/>
        </w:rPr>
        <w:t xml:space="preserve"> defer </w:t>
      </w:r>
      <w:r w:rsidRPr="00641418">
        <w:rPr>
          <w:bCs/>
          <w:color w:val="000000" w:themeColor="text1"/>
        </w:rPr>
        <w:t xml:space="preserve">such </w:t>
      </w:r>
      <w:r w:rsidR="0038216C" w:rsidRPr="00641418">
        <w:rPr>
          <w:bCs/>
          <w:color w:val="000000" w:themeColor="text1"/>
        </w:rPr>
        <w:t>proceedings to the competence of the Tribunal.</w:t>
      </w:r>
    </w:p>
    <w:p w:rsidR="00F03FD8" w:rsidRPr="00641418" w:rsidRDefault="00F03FD8" w:rsidP="00F03FD8">
      <w:pPr>
        <w:pStyle w:val="ListParagraph"/>
        <w:rPr>
          <w:bCs/>
          <w:color w:val="000000" w:themeColor="text1"/>
        </w:rPr>
      </w:pPr>
    </w:p>
    <w:p w:rsidR="00463305" w:rsidRPr="00641418" w:rsidRDefault="002713B8" w:rsidP="00463305">
      <w:pPr>
        <w:numPr>
          <w:ilvl w:val="0"/>
          <w:numId w:val="2"/>
        </w:numPr>
        <w:tabs>
          <w:tab w:val="clear" w:pos="360"/>
          <w:tab w:val="num" w:pos="450"/>
        </w:tabs>
        <w:ind w:left="450" w:hanging="450"/>
        <w:contextualSpacing/>
        <w:jc w:val="both"/>
        <w:rPr>
          <w:color w:val="000000" w:themeColor="text1"/>
          <w:lang w:val="en-GB"/>
        </w:rPr>
      </w:pPr>
      <w:r w:rsidRPr="00641418">
        <w:rPr>
          <w:bCs/>
          <w:color w:val="000000" w:themeColor="text1"/>
        </w:rPr>
        <w:t>T</w:t>
      </w:r>
      <w:r w:rsidR="0038216C" w:rsidRPr="00641418">
        <w:rPr>
          <w:bCs/>
          <w:color w:val="000000" w:themeColor="text1"/>
        </w:rPr>
        <w:t xml:space="preserve">he Panel is convinced that a formal request for information and cooperation or a request for deferral </w:t>
      </w:r>
      <w:r w:rsidR="002E0682" w:rsidRPr="00641418">
        <w:rPr>
          <w:bCs/>
          <w:color w:val="000000" w:themeColor="text1"/>
        </w:rPr>
        <w:t xml:space="preserve">of proceedings </w:t>
      </w:r>
      <w:r w:rsidR="0038216C" w:rsidRPr="00641418">
        <w:rPr>
          <w:bCs/>
          <w:color w:val="000000" w:themeColor="text1"/>
        </w:rPr>
        <w:t>must have be</w:t>
      </w:r>
      <w:r w:rsidR="0045115A" w:rsidRPr="00641418">
        <w:rPr>
          <w:bCs/>
          <w:color w:val="000000" w:themeColor="text1"/>
        </w:rPr>
        <w:t>en</w:t>
      </w:r>
      <w:r w:rsidRPr="00641418">
        <w:rPr>
          <w:bCs/>
          <w:color w:val="000000" w:themeColor="text1"/>
        </w:rPr>
        <w:t xml:space="preserve"> </w:t>
      </w:r>
      <w:r w:rsidR="0038216C" w:rsidRPr="00641418">
        <w:rPr>
          <w:bCs/>
          <w:color w:val="000000" w:themeColor="text1"/>
        </w:rPr>
        <w:t xml:space="preserve">presented </w:t>
      </w:r>
      <w:r w:rsidRPr="00641418">
        <w:rPr>
          <w:bCs/>
          <w:color w:val="000000" w:themeColor="text1"/>
        </w:rPr>
        <w:t xml:space="preserve">by the ICTY </w:t>
      </w:r>
      <w:r w:rsidR="0038216C" w:rsidRPr="00641418">
        <w:rPr>
          <w:bCs/>
          <w:color w:val="000000" w:themeColor="text1"/>
        </w:rPr>
        <w:t xml:space="preserve">to </w:t>
      </w:r>
      <w:r w:rsidRPr="00641418">
        <w:rPr>
          <w:bCs/>
          <w:color w:val="000000" w:themeColor="text1"/>
        </w:rPr>
        <w:t xml:space="preserve">national authorities. Thus, the ICTY must have presented such a request to </w:t>
      </w:r>
      <w:r w:rsidR="0038216C" w:rsidRPr="00641418">
        <w:rPr>
          <w:bCs/>
          <w:color w:val="000000" w:themeColor="text1"/>
        </w:rPr>
        <w:t>UNMIK</w:t>
      </w:r>
      <w:r w:rsidRPr="00641418">
        <w:rPr>
          <w:bCs/>
          <w:color w:val="000000" w:themeColor="text1"/>
        </w:rPr>
        <w:t xml:space="preserve">, before taking over the case, which would have been </w:t>
      </w:r>
      <w:r w:rsidR="007358FD" w:rsidRPr="00641418">
        <w:rPr>
          <w:bCs/>
          <w:color w:val="000000" w:themeColor="text1"/>
        </w:rPr>
        <w:t>formally reflected in UNMIK’s documentation</w:t>
      </w:r>
      <w:r w:rsidRPr="00641418">
        <w:rPr>
          <w:bCs/>
          <w:color w:val="000000" w:themeColor="text1"/>
        </w:rPr>
        <w:t xml:space="preserve">. </w:t>
      </w:r>
      <w:r w:rsidR="00463305" w:rsidRPr="00641418">
        <w:rPr>
          <w:bCs/>
          <w:color w:val="000000" w:themeColor="text1"/>
        </w:rPr>
        <w:t>This would</w:t>
      </w:r>
      <w:r w:rsidR="00463305" w:rsidRPr="00641418">
        <w:rPr>
          <w:color w:val="000000" w:themeColor="text1"/>
          <w:lang w:val="en-GB"/>
        </w:rPr>
        <w:t xml:space="preserve">, </w:t>
      </w:r>
      <w:r w:rsidR="00463305" w:rsidRPr="00641418">
        <w:rPr>
          <w:i/>
          <w:color w:val="000000" w:themeColor="text1"/>
          <w:lang w:val="en-GB"/>
        </w:rPr>
        <w:t>first</w:t>
      </w:r>
      <w:r w:rsidR="00463305" w:rsidRPr="00641418">
        <w:rPr>
          <w:color w:val="000000" w:themeColor="text1"/>
          <w:lang w:val="en-GB"/>
        </w:rPr>
        <w:t xml:space="preserve">, justify the lack of UNMIK’s authorities’ action with regard to particular investigations, and, </w:t>
      </w:r>
      <w:r w:rsidR="00463305" w:rsidRPr="00641418">
        <w:rPr>
          <w:i/>
          <w:color w:val="000000" w:themeColor="text1"/>
          <w:lang w:val="en-GB"/>
        </w:rPr>
        <w:t>second</w:t>
      </w:r>
      <w:r w:rsidR="00463305" w:rsidRPr="00641418">
        <w:rPr>
          <w:color w:val="000000" w:themeColor="text1"/>
          <w:lang w:val="en-GB"/>
        </w:rPr>
        <w:t>, it would enable future tracking and retrieving of the investigative documents and evidence by national authorities, when needed.</w:t>
      </w:r>
    </w:p>
    <w:p w:rsidR="0038216C" w:rsidRPr="00641418" w:rsidRDefault="0038216C" w:rsidP="00396222">
      <w:pPr>
        <w:pStyle w:val="ListParagraph"/>
        <w:rPr>
          <w:color w:val="000000" w:themeColor="text1"/>
          <w:lang w:val="en-GB"/>
        </w:rPr>
      </w:pPr>
    </w:p>
    <w:p w:rsidR="0038216C" w:rsidRPr="00641418" w:rsidRDefault="0038216C" w:rsidP="0038216C">
      <w:pPr>
        <w:numPr>
          <w:ilvl w:val="0"/>
          <w:numId w:val="2"/>
        </w:numPr>
        <w:tabs>
          <w:tab w:val="clear" w:pos="360"/>
          <w:tab w:val="num" w:pos="450"/>
        </w:tabs>
        <w:ind w:left="450" w:hanging="450"/>
        <w:jc w:val="both"/>
        <w:rPr>
          <w:bCs/>
          <w:color w:val="000000" w:themeColor="text1"/>
          <w:lang w:val="en-GB"/>
        </w:rPr>
      </w:pPr>
      <w:r w:rsidRPr="00641418">
        <w:rPr>
          <w:bCs/>
          <w:color w:val="000000" w:themeColor="text1"/>
          <w:lang w:val="en-GB"/>
        </w:rPr>
        <w:t xml:space="preserve">However, the investigative file made available to the Panel by UNMIK has no indication whatsoever of any ICTY involvement at any stage of the investigation by </w:t>
      </w:r>
      <w:r w:rsidR="002E0682" w:rsidRPr="00641418">
        <w:rPr>
          <w:bCs/>
          <w:color w:val="000000" w:themeColor="text1"/>
          <w:lang w:val="en-GB"/>
        </w:rPr>
        <w:t xml:space="preserve">the </w:t>
      </w:r>
      <w:r w:rsidRPr="00641418">
        <w:rPr>
          <w:bCs/>
          <w:color w:val="000000" w:themeColor="text1"/>
          <w:lang w:val="en-GB"/>
        </w:rPr>
        <w:t>UNMIK Police. Moreover, even in 200</w:t>
      </w:r>
      <w:r w:rsidR="007358FD" w:rsidRPr="00641418">
        <w:rPr>
          <w:bCs/>
          <w:color w:val="000000" w:themeColor="text1"/>
          <w:lang w:val="en-GB"/>
        </w:rPr>
        <w:t>6 -</w:t>
      </w:r>
      <w:r w:rsidR="00F82F04" w:rsidRPr="00641418">
        <w:rPr>
          <w:bCs/>
          <w:color w:val="000000" w:themeColor="text1"/>
          <w:lang w:val="en-GB"/>
        </w:rPr>
        <w:t xml:space="preserve"> 2008</w:t>
      </w:r>
      <w:r w:rsidRPr="00641418">
        <w:rPr>
          <w:bCs/>
          <w:color w:val="000000" w:themeColor="text1"/>
          <w:lang w:val="en-GB"/>
        </w:rPr>
        <w:t xml:space="preserve">, </w:t>
      </w:r>
      <w:r w:rsidR="00F82F04" w:rsidRPr="00641418">
        <w:rPr>
          <w:bCs/>
          <w:color w:val="000000" w:themeColor="text1"/>
          <w:lang w:val="en-GB"/>
        </w:rPr>
        <w:t xml:space="preserve">while </w:t>
      </w:r>
      <w:r w:rsidRPr="00641418">
        <w:rPr>
          <w:bCs/>
          <w:color w:val="000000" w:themeColor="text1"/>
          <w:lang w:val="en-GB"/>
        </w:rPr>
        <w:t>the UNMIK Police WCIU</w:t>
      </w:r>
      <w:r w:rsidR="00F82F04" w:rsidRPr="00641418">
        <w:rPr>
          <w:bCs/>
          <w:color w:val="000000" w:themeColor="text1"/>
          <w:lang w:val="en-GB"/>
        </w:rPr>
        <w:t xml:space="preserve"> and the IP investigated the alleged fraudulent sale of Mr </w:t>
      </w:r>
      <w:r w:rsidR="00F82F04" w:rsidRPr="00641418">
        <w:rPr>
          <w:color w:val="000000" w:themeColor="text1"/>
          <w:lang w:val="en-GB"/>
        </w:rPr>
        <w:t>Živorad Krstić’s</w:t>
      </w:r>
      <w:r w:rsidR="00F82F04" w:rsidRPr="00641418">
        <w:rPr>
          <w:bCs/>
          <w:color w:val="000000" w:themeColor="text1"/>
          <w:lang w:val="en-GB"/>
        </w:rPr>
        <w:t xml:space="preserve"> property, </w:t>
      </w:r>
      <w:r w:rsidRPr="00641418">
        <w:rPr>
          <w:bCs/>
          <w:color w:val="000000" w:themeColor="text1"/>
          <w:lang w:val="en-GB"/>
        </w:rPr>
        <w:t>appeared not to be aware of the existing ICTY proceedings</w:t>
      </w:r>
      <w:r w:rsidR="00F82F04" w:rsidRPr="00641418">
        <w:rPr>
          <w:bCs/>
          <w:color w:val="000000" w:themeColor="text1"/>
          <w:lang w:val="en-GB"/>
        </w:rPr>
        <w:t xml:space="preserve"> (see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F82F04" w:rsidRPr="00641418">
        <w:rPr>
          <w:color w:val="000000" w:themeColor="text1"/>
          <w:lang w:val="en-GB"/>
        </w:rPr>
        <w:t xml:space="preserve"> - </w:t>
      </w:r>
      <w:r w:rsidR="009C2A5A">
        <w:fldChar w:fldCharType="begin"/>
      </w:r>
      <w:r w:rsidR="009C2A5A">
        <w:instrText xml:space="preserve"> REF _Ref401155787 \r \h  \* MERGEFORMAT </w:instrText>
      </w:r>
      <w:r w:rsidR="009C2A5A">
        <w:fldChar w:fldCharType="separate"/>
      </w:r>
      <w:r w:rsidR="009C2A5A" w:rsidRPr="009C2A5A">
        <w:rPr>
          <w:bCs/>
          <w:color w:val="000000" w:themeColor="text1"/>
          <w:lang w:val="en-GB"/>
        </w:rPr>
        <w:t>97</w:t>
      </w:r>
      <w:r w:rsidR="009C2A5A">
        <w:fldChar w:fldCharType="end"/>
      </w:r>
      <w:r w:rsidR="00F82F04" w:rsidRPr="00641418">
        <w:rPr>
          <w:bCs/>
          <w:color w:val="000000" w:themeColor="text1"/>
          <w:lang w:val="en-GB"/>
        </w:rPr>
        <w:t xml:space="preserve"> above)</w:t>
      </w:r>
      <w:r w:rsidRPr="00641418">
        <w:rPr>
          <w:bCs/>
          <w:color w:val="000000" w:themeColor="text1"/>
          <w:lang w:val="en-GB"/>
        </w:rPr>
        <w:t>.</w:t>
      </w:r>
      <w:r w:rsidR="00F82F04" w:rsidRPr="00641418">
        <w:rPr>
          <w:bCs/>
          <w:color w:val="000000" w:themeColor="text1"/>
          <w:lang w:val="en-GB"/>
        </w:rPr>
        <w:t xml:space="preserve"> </w:t>
      </w:r>
      <w:r w:rsidR="007358FD" w:rsidRPr="00641418">
        <w:rPr>
          <w:bCs/>
          <w:color w:val="000000" w:themeColor="text1"/>
          <w:lang w:val="en-GB"/>
        </w:rPr>
        <w:t>T</w:t>
      </w:r>
      <w:r w:rsidR="00F03FD8" w:rsidRPr="00641418">
        <w:rPr>
          <w:bCs/>
          <w:color w:val="000000" w:themeColor="text1"/>
          <w:lang w:val="en-GB"/>
        </w:rPr>
        <w:t xml:space="preserve">he </w:t>
      </w:r>
      <w:r w:rsidR="007358FD" w:rsidRPr="00641418">
        <w:rPr>
          <w:bCs/>
          <w:color w:val="000000" w:themeColor="text1"/>
          <w:lang w:val="en-GB"/>
        </w:rPr>
        <w:t xml:space="preserve">first </w:t>
      </w:r>
      <w:r w:rsidR="00F03FD8" w:rsidRPr="00641418">
        <w:rPr>
          <w:bCs/>
          <w:color w:val="000000" w:themeColor="text1"/>
          <w:lang w:val="en-GB"/>
        </w:rPr>
        <w:t xml:space="preserve">time the ICTY’s possible involvement in this matter </w:t>
      </w:r>
      <w:r w:rsidR="007358FD" w:rsidRPr="00641418">
        <w:rPr>
          <w:bCs/>
          <w:color w:val="000000" w:themeColor="text1"/>
          <w:lang w:val="en-GB"/>
        </w:rPr>
        <w:t xml:space="preserve">is </w:t>
      </w:r>
      <w:r w:rsidR="00F03FD8" w:rsidRPr="00641418">
        <w:rPr>
          <w:bCs/>
          <w:color w:val="000000" w:themeColor="text1"/>
          <w:lang w:val="en-GB"/>
        </w:rPr>
        <w:t xml:space="preserve">seen </w:t>
      </w:r>
      <w:r w:rsidR="007358FD" w:rsidRPr="00641418">
        <w:rPr>
          <w:bCs/>
          <w:color w:val="000000" w:themeColor="text1"/>
          <w:lang w:val="en-GB"/>
        </w:rPr>
        <w:t>in</w:t>
      </w:r>
      <w:r w:rsidR="00F03FD8" w:rsidRPr="00641418">
        <w:rPr>
          <w:bCs/>
          <w:color w:val="000000" w:themeColor="text1"/>
          <w:lang w:val="en-GB"/>
        </w:rPr>
        <w:t xml:space="preserve"> the UNMIK Police’s request for information in relation to this victim to the ICTY, dated 20 June 2008 (see § </w:t>
      </w:r>
      <w:r w:rsidR="009C2A5A">
        <w:fldChar w:fldCharType="begin"/>
      </w:r>
      <w:r w:rsidR="009C2A5A">
        <w:instrText xml:space="preserve"> REF _Ref392164300 \r \h  \* MERGEFORMAT </w:instrText>
      </w:r>
      <w:r w:rsidR="009C2A5A">
        <w:fldChar w:fldCharType="separate"/>
      </w:r>
      <w:r w:rsidR="009C2A5A" w:rsidRPr="009C2A5A">
        <w:rPr>
          <w:bCs/>
          <w:color w:val="000000" w:themeColor="text1"/>
          <w:lang w:val="en-GB"/>
        </w:rPr>
        <w:t>99</w:t>
      </w:r>
      <w:r w:rsidR="009C2A5A">
        <w:fldChar w:fldCharType="end"/>
      </w:r>
      <w:r w:rsidR="00F03FD8" w:rsidRPr="00641418">
        <w:rPr>
          <w:bCs/>
          <w:color w:val="000000" w:themeColor="text1"/>
          <w:lang w:val="en-GB"/>
        </w:rPr>
        <w:t xml:space="preserve"> above), to which the ICTY responded positively (see § </w:t>
      </w:r>
      <w:r w:rsidR="009C2A5A">
        <w:fldChar w:fldCharType="begin"/>
      </w:r>
      <w:r w:rsidR="009C2A5A">
        <w:instrText xml:space="preserve"> REF _Ref401156078 \r \h  \* MERGEFORMAT </w:instrText>
      </w:r>
      <w:r w:rsidR="009C2A5A">
        <w:fldChar w:fldCharType="separate"/>
      </w:r>
      <w:r w:rsidR="009C2A5A" w:rsidRPr="009C2A5A">
        <w:rPr>
          <w:bCs/>
          <w:color w:val="000000" w:themeColor="text1"/>
          <w:lang w:val="en-GB"/>
        </w:rPr>
        <w:t>109</w:t>
      </w:r>
      <w:r w:rsidR="009C2A5A">
        <w:fldChar w:fldCharType="end"/>
      </w:r>
      <w:r w:rsidR="00F03FD8" w:rsidRPr="00641418">
        <w:rPr>
          <w:bCs/>
          <w:color w:val="000000" w:themeColor="text1"/>
          <w:lang w:val="en-GB"/>
        </w:rPr>
        <w:t xml:space="preserve"> above).</w:t>
      </w:r>
    </w:p>
    <w:p w:rsidR="0038216C" w:rsidRPr="00641418" w:rsidRDefault="0038216C" w:rsidP="0038216C">
      <w:pPr>
        <w:pStyle w:val="ListParagraph"/>
        <w:rPr>
          <w:bCs/>
          <w:color w:val="000000" w:themeColor="text1"/>
          <w:lang w:val="en-GB"/>
        </w:rPr>
      </w:pPr>
    </w:p>
    <w:p w:rsidR="0038216C" w:rsidRPr="00641418" w:rsidRDefault="001F5282" w:rsidP="0038216C">
      <w:pPr>
        <w:pStyle w:val="ListParagraph"/>
        <w:numPr>
          <w:ilvl w:val="0"/>
          <w:numId w:val="2"/>
        </w:numPr>
        <w:tabs>
          <w:tab w:val="clear" w:pos="360"/>
        </w:tabs>
        <w:autoSpaceDE w:val="0"/>
        <w:ind w:left="450" w:hanging="450"/>
        <w:jc w:val="both"/>
        <w:rPr>
          <w:bCs/>
          <w:i/>
          <w:color w:val="000000" w:themeColor="text1"/>
          <w:lang w:val="en-GB"/>
        </w:rPr>
      </w:pPr>
      <w:r w:rsidRPr="00641418">
        <w:rPr>
          <w:color w:val="000000" w:themeColor="text1"/>
          <w:lang w:val="en-GB"/>
        </w:rPr>
        <w:t xml:space="preserve">In this respect, the Panel </w:t>
      </w:r>
      <w:r w:rsidR="00F03FD8" w:rsidRPr="00641418">
        <w:rPr>
          <w:color w:val="000000" w:themeColor="text1"/>
          <w:lang w:val="en-GB"/>
        </w:rPr>
        <w:t xml:space="preserve">also </w:t>
      </w:r>
      <w:r w:rsidRPr="00641418">
        <w:rPr>
          <w:color w:val="000000" w:themeColor="text1"/>
          <w:lang w:val="en-GB"/>
        </w:rPr>
        <w:t>notes with concern UNMIK’s submission that no record of any formal request of such nature was submitted by the ICTY, or even had to be submitted</w:t>
      </w:r>
      <w:r w:rsidR="0063322C" w:rsidRPr="00641418">
        <w:rPr>
          <w:color w:val="000000" w:themeColor="text1"/>
          <w:lang w:val="en-GB"/>
        </w:rPr>
        <w:t xml:space="preserve"> (see § </w:t>
      </w:r>
      <w:r w:rsidR="009C2A5A">
        <w:fldChar w:fldCharType="begin"/>
      </w:r>
      <w:r w:rsidR="009C2A5A">
        <w:instrText xml:space="preserve"> REF _Ref401231068 \r \h  \* MERGEFORMAT </w:instrText>
      </w:r>
      <w:r w:rsidR="009C2A5A">
        <w:fldChar w:fldCharType="separate"/>
      </w:r>
      <w:r w:rsidR="009C2A5A" w:rsidRPr="009C2A5A">
        <w:rPr>
          <w:color w:val="000000" w:themeColor="text1"/>
          <w:lang w:val="en-GB"/>
        </w:rPr>
        <w:t>160</w:t>
      </w:r>
      <w:r w:rsidR="009C2A5A">
        <w:fldChar w:fldCharType="end"/>
      </w:r>
      <w:r w:rsidR="0063322C" w:rsidRPr="00641418">
        <w:rPr>
          <w:color w:val="000000" w:themeColor="text1"/>
          <w:lang w:val="en-GB"/>
        </w:rPr>
        <w:t xml:space="preserve"> above)</w:t>
      </w:r>
      <w:r w:rsidRPr="00641418">
        <w:rPr>
          <w:color w:val="000000" w:themeColor="text1"/>
          <w:lang w:val="en-GB"/>
        </w:rPr>
        <w:t xml:space="preserve">. Thus, it appears that </w:t>
      </w:r>
      <w:r w:rsidR="0038216C" w:rsidRPr="00641418">
        <w:rPr>
          <w:color w:val="000000" w:themeColor="text1"/>
          <w:lang w:val="en-GB"/>
        </w:rPr>
        <w:t xml:space="preserve">UNMIK’s investigative files </w:t>
      </w:r>
      <w:r w:rsidRPr="00641418">
        <w:rPr>
          <w:color w:val="000000" w:themeColor="text1"/>
          <w:lang w:val="en-GB"/>
        </w:rPr>
        <w:t>might have</w:t>
      </w:r>
      <w:r w:rsidR="0063322C" w:rsidRPr="00641418">
        <w:rPr>
          <w:color w:val="000000" w:themeColor="text1"/>
          <w:lang w:val="en-GB"/>
        </w:rPr>
        <w:t xml:space="preserve"> been simply</w:t>
      </w:r>
      <w:r w:rsidR="007358FD" w:rsidRPr="00641418">
        <w:rPr>
          <w:color w:val="000000" w:themeColor="text1"/>
          <w:lang w:val="en-GB"/>
        </w:rPr>
        <w:t xml:space="preserve"> subject of</w:t>
      </w:r>
      <w:r w:rsidR="0063322C" w:rsidRPr="00641418">
        <w:rPr>
          <w:color w:val="000000" w:themeColor="text1"/>
          <w:lang w:val="en-GB"/>
        </w:rPr>
        <w:t xml:space="preserve"> </w:t>
      </w:r>
      <w:r w:rsidR="007358FD" w:rsidRPr="00641418">
        <w:rPr>
          <w:color w:val="000000" w:themeColor="text1"/>
          <w:lang w:val="en-GB"/>
        </w:rPr>
        <w:t xml:space="preserve">a </w:t>
      </w:r>
      <w:r w:rsidR="0063322C" w:rsidRPr="00641418">
        <w:rPr>
          <w:color w:val="000000" w:themeColor="text1"/>
          <w:lang w:val="en-GB"/>
        </w:rPr>
        <w:t>“seiz</w:t>
      </w:r>
      <w:r w:rsidR="007358FD" w:rsidRPr="00641418">
        <w:rPr>
          <w:color w:val="000000" w:themeColor="text1"/>
          <w:lang w:val="en-GB"/>
        </w:rPr>
        <w:t>ure</w:t>
      </w:r>
      <w:r w:rsidR="0063322C" w:rsidRPr="00641418">
        <w:rPr>
          <w:color w:val="000000" w:themeColor="text1"/>
          <w:lang w:val="en-GB"/>
        </w:rPr>
        <w:t xml:space="preserve">” by the </w:t>
      </w:r>
      <w:r w:rsidR="0038216C" w:rsidRPr="00641418">
        <w:rPr>
          <w:color w:val="000000" w:themeColor="text1"/>
          <w:lang w:val="en-GB"/>
        </w:rPr>
        <w:t>ICTY</w:t>
      </w:r>
      <w:r w:rsidR="0063322C" w:rsidRPr="00641418">
        <w:rPr>
          <w:color w:val="000000" w:themeColor="text1"/>
          <w:lang w:val="en-GB"/>
        </w:rPr>
        <w:t>,</w:t>
      </w:r>
      <w:r w:rsidR="0038216C" w:rsidRPr="00641418">
        <w:rPr>
          <w:color w:val="000000" w:themeColor="text1"/>
          <w:lang w:val="en-GB"/>
        </w:rPr>
        <w:t xml:space="preserve"> without any formal request from the latter and without even a</w:t>
      </w:r>
      <w:r w:rsidR="007358FD" w:rsidRPr="00641418">
        <w:rPr>
          <w:color w:val="000000" w:themeColor="text1"/>
          <w:lang w:val="en-GB"/>
        </w:rPr>
        <w:t>ny</w:t>
      </w:r>
      <w:r w:rsidR="0038216C" w:rsidRPr="00641418">
        <w:rPr>
          <w:color w:val="000000" w:themeColor="text1"/>
          <w:lang w:val="en-GB"/>
        </w:rPr>
        <w:t xml:space="preserve"> trace of such a</w:t>
      </w:r>
      <w:r w:rsidR="007358FD" w:rsidRPr="00641418">
        <w:rPr>
          <w:color w:val="000000" w:themeColor="text1"/>
          <w:lang w:val="en-GB"/>
        </w:rPr>
        <w:t>ction</w:t>
      </w:r>
      <w:r w:rsidR="0038216C" w:rsidRPr="00641418">
        <w:rPr>
          <w:color w:val="000000" w:themeColor="text1"/>
          <w:lang w:val="en-GB"/>
        </w:rPr>
        <w:t>.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38216C" w:rsidRPr="00641418" w:rsidRDefault="0038216C" w:rsidP="00396222">
      <w:pPr>
        <w:pStyle w:val="ListParagraph"/>
        <w:rPr>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color w:val="000000" w:themeColor="text1"/>
          <w:lang w:val="en-GB"/>
        </w:rPr>
        <w:t xml:space="preserve">The Panel is </w:t>
      </w:r>
      <w:r w:rsidR="002E0682" w:rsidRPr="00641418">
        <w:rPr>
          <w:color w:val="000000" w:themeColor="text1"/>
          <w:lang w:val="en-GB"/>
        </w:rPr>
        <w:t xml:space="preserve">likewise </w:t>
      </w:r>
      <w:r w:rsidRPr="00641418">
        <w:rPr>
          <w:color w:val="000000" w:themeColor="text1"/>
          <w:lang w:val="en-GB"/>
        </w:rPr>
        <w:t>aware of the fact that</w:t>
      </w:r>
      <w:r w:rsidR="002E0682" w:rsidRPr="00641418">
        <w:rPr>
          <w:color w:val="000000" w:themeColor="text1"/>
          <w:lang w:val="en-GB"/>
        </w:rPr>
        <w:t>,</w:t>
      </w:r>
      <w:r w:rsidRPr="00641418">
        <w:rPr>
          <w:color w:val="000000" w:themeColor="text1"/>
          <w:lang w:val="en-GB"/>
        </w:rPr>
        <w:t xml:space="preserve"> since</w:t>
      </w:r>
      <w:r w:rsidRPr="00641418">
        <w:rPr>
          <w:color w:val="000000" w:themeColor="text1"/>
        </w:rPr>
        <w:t xml:space="preserve"> its establishment, the ICTY has had a number of field offices in the former Yugoslavia, which were “originally set up as outposts for the </w:t>
      </w:r>
      <w:r w:rsidR="00F63CAF" w:rsidRPr="00641418">
        <w:rPr>
          <w:color w:val="000000" w:themeColor="text1"/>
        </w:rPr>
        <w:t>[OTP]</w:t>
      </w:r>
      <w:r w:rsidRPr="00641418">
        <w:rPr>
          <w:color w:val="000000" w:themeColor="text1"/>
        </w:rPr>
        <w:t xml:space="preserve"> and were located in Belgrade, Sarajevo, Zagreb, Pristina, Banja Luka and Skopje. … In early 2000, a Registry component was added to the field offices of Sarajevo, Belgrade, Zagreb and Pristina, primarily to perform outreach and public information functions. The </w:t>
      </w:r>
      <w:r w:rsidR="00F63CAF" w:rsidRPr="00641418">
        <w:rPr>
          <w:color w:val="000000" w:themeColor="text1"/>
        </w:rPr>
        <w:t>[OTP]</w:t>
      </w:r>
      <w:r w:rsidRPr="00641418">
        <w:rPr>
          <w:color w:val="000000" w:themeColor="text1"/>
        </w:rPr>
        <w:t xml:space="preserve"> withdrew its presence from the Pristina office in 2006 and from the Zagreb office in 2010.”</w:t>
      </w:r>
      <w:r w:rsidRPr="00641418">
        <w:rPr>
          <w:rStyle w:val="FootnoteReference"/>
          <w:color w:val="000000" w:themeColor="text1"/>
        </w:rPr>
        <w:footnoteReference w:id="20"/>
      </w:r>
      <w:r w:rsidRPr="00641418">
        <w:rPr>
          <w:color w:val="000000" w:themeColor="text1"/>
        </w:rPr>
        <w:t xml:space="preserve"> Subsequently, on 31 December 2012, the </w:t>
      </w:r>
      <w:r w:rsidR="00F63CAF" w:rsidRPr="00641418">
        <w:rPr>
          <w:color w:val="000000" w:themeColor="text1"/>
        </w:rPr>
        <w:t xml:space="preserve">ICTY OTP field </w:t>
      </w:r>
      <w:r w:rsidRPr="00641418">
        <w:rPr>
          <w:color w:val="000000" w:themeColor="text1"/>
        </w:rPr>
        <w:t>office in Prishtin</w:t>
      </w:r>
      <w:r w:rsidRPr="00641418">
        <w:rPr>
          <w:color w:val="000000" w:themeColor="text1"/>
          <w:lang w:val="ru-RU"/>
        </w:rPr>
        <w:t>ё</w:t>
      </w:r>
      <w:r w:rsidRPr="00641418">
        <w:rPr>
          <w:color w:val="000000" w:themeColor="text1"/>
        </w:rPr>
        <w:t xml:space="preserve">/Priština </w:t>
      </w:r>
      <w:r w:rsidRPr="00641418">
        <w:rPr>
          <w:rStyle w:val="apple-converted-space"/>
          <w:color w:val="000000" w:themeColor="text1"/>
        </w:rPr>
        <w:t>was completely closed.</w:t>
      </w:r>
      <w:r w:rsidRPr="00641418">
        <w:rPr>
          <w:rStyle w:val="FootnoteReference"/>
          <w:color w:val="000000" w:themeColor="text1"/>
        </w:rPr>
        <w:footnoteReference w:id="21"/>
      </w:r>
    </w:p>
    <w:p w:rsidR="001F5282" w:rsidRPr="00641418" w:rsidRDefault="001F5282" w:rsidP="001F5282">
      <w:pPr>
        <w:rPr>
          <w:rStyle w:val="apple-converted-space"/>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rStyle w:val="apple-converted-space"/>
          <w:color w:val="000000" w:themeColor="text1"/>
          <w:lang w:val="en-GB"/>
        </w:rPr>
        <w:t>Thus,</w:t>
      </w:r>
      <w:r w:rsidR="000943E3" w:rsidRPr="00641418">
        <w:rPr>
          <w:rStyle w:val="apple-converted-space"/>
          <w:color w:val="000000" w:themeColor="text1"/>
          <w:lang w:val="en-GB"/>
        </w:rPr>
        <w:t xml:space="preserve"> in the Panel’s view, </w:t>
      </w:r>
      <w:r w:rsidRPr="00641418">
        <w:rPr>
          <w:rStyle w:val="apple-converted-space"/>
          <w:color w:val="000000" w:themeColor="text1"/>
          <w:lang w:val="en-GB"/>
        </w:rPr>
        <w:t xml:space="preserve">it is not excluded that the ICTY had </w:t>
      </w:r>
      <w:r w:rsidR="000943E3" w:rsidRPr="00641418">
        <w:rPr>
          <w:rStyle w:val="apple-converted-space"/>
          <w:color w:val="000000" w:themeColor="text1"/>
          <w:lang w:val="en-GB"/>
        </w:rPr>
        <w:t xml:space="preserve">also </w:t>
      </w:r>
      <w:r w:rsidRPr="00641418">
        <w:rPr>
          <w:rStyle w:val="apple-converted-space"/>
          <w:color w:val="000000" w:themeColor="text1"/>
          <w:lang w:val="en-GB"/>
        </w:rPr>
        <w:t xml:space="preserve">conducted its independent investigation into the abduction and disappearance of </w:t>
      </w:r>
      <w:r w:rsidRPr="00641418">
        <w:rPr>
          <w:bCs/>
          <w:color w:val="000000" w:themeColor="text1"/>
        </w:rPr>
        <w:t xml:space="preserve">Mr Slobodan Mitrović, Mr Milovan Krstić, </w:t>
      </w:r>
      <w:proofErr w:type="gramStart"/>
      <w:r w:rsidRPr="00641418">
        <w:rPr>
          <w:bCs/>
          <w:color w:val="000000" w:themeColor="text1"/>
        </w:rPr>
        <w:t>Mr</w:t>
      </w:r>
      <w:proofErr w:type="gramEnd"/>
      <w:r w:rsidRPr="00641418">
        <w:rPr>
          <w:bCs/>
          <w:color w:val="000000" w:themeColor="text1"/>
        </w:rPr>
        <w:t xml:space="preserve">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rStyle w:val="apple-converted-space"/>
          <w:color w:val="000000" w:themeColor="text1"/>
          <w:lang w:val="en-GB"/>
        </w:rPr>
        <w:t xml:space="preserve">, as a part of its wider investigation in the case </w:t>
      </w:r>
      <w:r w:rsidRPr="00641418">
        <w:rPr>
          <w:rStyle w:val="apple-converted-space"/>
          <w:i/>
          <w:color w:val="000000" w:themeColor="text1"/>
          <w:lang w:val="en-GB"/>
        </w:rPr>
        <w:t>Limaj et al</w:t>
      </w:r>
      <w:r w:rsidRPr="00641418">
        <w:rPr>
          <w:rStyle w:val="apple-converted-space"/>
          <w:color w:val="000000" w:themeColor="text1"/>
          <w:lang w:val="en-GB"/>
        </w:rPr>
        <w:t>. It is also possible that UNMIK authorities were not made aware of any such activity on the part of the ICTY OTP. This may explain the lack of information in the investigative file as to the ICTY involvement.</w:t>
      </w:r>
    </w:p>
    <w:p w:rsidR="003032C7" w:rsidRPr="00641418" w:rsidRDefault="003032C7" w:rsidP="003032C7">
      <w:pPr>
        <w:pStyle w:val="ListParagraph"/>
        <w:rPr>
          <w:color w:val="000000" w:themeColor="text1"/>
          <w:lang w:val="en-GB"/>
        </w:rPr>
      </w:pPr>
    </w:p>
    <w:p w:rsidR="00923977" w:rsidRPr="00641418" w:rsidRDefault="002E0682"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Although t</w:t>
      </w:r>
      <w:r w:rsidR="00567405" w:rsidRPr="00641418">
        <w:rPr>
          <w:color w:val="000000" w:themeColor="text1"/>
          <w:lang w:val="en-GB"/>
        </w:rPr>
        <w:t>he Panel was not presented</w:t>
      </w:r>
      <w:r w:rsidR="001F5282" w:rsidRPr="00641418">
        <w:rPr>
          <w:color w:val="000000" w:themeColor="text1"/>
          <w:lang w:val="en-GB"/>
        </w:rPr>
        <w:t xml:space="preserve"> with</w:t>
      </w:r>
      <w:r w:rsidR="00567405" w:rsidRPr="00641418">
        <w:rPr>
          <w:color w:val="000000" w:themeColor="text1"/>
          <w:lang w:val="en-GB"/>
        </w:rPr>
        <w:t xml:space="preserve"> any evidence as to when the </w:t>
      </w:r>
      <w:r w:rsidR="00714775" w:rsidRPr="00641418">
        <w:rPr>
          <w:color w:val="000000" w:themeColor="text1"/>
          <w:lang w:val="en-GB"/>
        </w:rPr>
        <w:t xml:space="preserve">ICTY </w:t>
      </w:r>
      <w:r w:rsidR="0063322C" w:rsidRPr="00641418">
        <w:rPr>
          <w:color w:val="000000" w:themeColor="text1"/>
          <w:lang w:val="en-GB"/>
        </w:rPr>
        <w:t xml:space="preserve">assumed primacy </w:t>
      </w:r>
      <w:r w:rsidR="00714775" w:rsidRPr="00641418">
        <w:rPr>
          <w:color w:val="000000" w:themeColor="text1"/>
          <w:lang w:val="en-GB"/>
        </w:rPr>
        <w:t>over these investigations</w:t>
      </w:r>
      <w:r w:rsidRPr="00641418">
        <w:rPr>
          <w:color w:val="000000" w:themeColor="text1"/>
          <w:lang w:val="en-GB"/>
        </w:rPr>
        <w:t xml:space="preserve">, it is known that </w:t>
      </w:r>
      <w:r w:rsidR="00567405" w:rsidRPr="00641418">
        <w:rPr>
          <w:color w:val="000000" w:themeColor="text1"/>
          <w:lang w:val="en-GB"/>
        </w:rPr>
        <w:t xml:space="preserve">on 24 January 2003 the ICTY </w:t>
      </w:r>
      <w:r w:rsidRPr="00641418">
        <w:rPr>
          <w:color w:val="000000" w:themeColor="text1"/>
          <w:lang w:val="en-GB"/>
        </w:rPr>
        <w:t xml:space="preserve">OTP </w:t>
      </w:r>
      <w:r w:rsidR="00567405" w:rsidRPr="00641418">
        <w:rPr>
          <w:color w:val="000000" w:themeColor="text1"/>
          <w:lang w:val="en-GB"/>
        </w:rPr>
        <w:t xml:space="preserve">filed the first indictment in the case </w:t>
      </w:r>
      <w:r w:rsidR="00567405" w:rsidRPr="00641418">
        <w:rPr>
          <w:color w:val="000000" w:themeColor="text1"/>
        </w:rPr>
        <w:t xml:space="preserve">IT-03-66, listing </w:t>
      </w:r>
      <w:r w:rsidR="00567405" w:rsidRPr="00641418">
        <w:rPr>
          <w:bCs/>
          <w:color w:val="000000" w:themeColor="text1"/>
        </w:rPr>
        <w:t>Mr Slobodan Mitrović, Mr Milovan Krstić, Mr Miodrag Krsti</w:t>
      </w:r>
      <w:r w:rsidR="00567405" w:rsidRPr="00641418">
        <w:rPr>
          <w:bCs/>
          <w:color w:val="000000" w:themeColor="text1"/>
          <w:lang w:val="sr-Latn-CS"/>
        </w:rPr>
        <w:t xml:space="preserve">ć, </w:t>
      </w:r>
      <w:r w:rsidR="00567405" w:rsidRPr="00641418">
        <w:rPr>
          <w:bCs/>
          <w:color w:val="000000" w:themeColor="text1"/>
        </w:rPr>
        <w:t xml:space="preserve">Mr Živorad Krstić and Mr Miroslav Šuljinić </w:t>
      </w:r>
      <w:r w:rsidR="0063322C" w:rsidRPr="00641418">
        <w:rPr>
          <w:bCs/>
          <w:color w:val="000000" w:themeColor="text1"/>
        </w:rPr>
        <w:t xml:space="preserve">as </w:t>
      </w:r>
      <w:r w:rsidR="00567405" w:rsidRPr="00641418">
        <w:rPr>
          <w:bCs/>
          <w:color w:val="000000" w:themeColor="text1"/>
        </w:rPr>
        <w:t xml:space="preserve">among the Serb detainees allegedly killed by the KLA </w:t>
      </w:r>
      <w:r w:rsidR="00923977" w:rsidRPr="00641418">
        <w:rPr>
          <w:bCs/>
          <w:color w:val="000000" w:themeColor="text1"/>
        </w:rPr>
        <w:t>a</w:t>
      </w:r>
      <w:r w:rsidR="00567405" w:rsidRPr="00641418">
        <w:rPr>
          <w:bCs/>
          <w:color w:val="000000" w:themeColor="text1"/>
        </w:rPr>
        <w:t xml:space="preserve">t </w:t>
      </w:r>
      <w:r w:rsidR="00923977" w:rsidRPr="00641418">
        <w:rPr>
          <w:bCs/>
          <w:color w:val="000000" w:themeColor="text1"/>
        </w:rPr>
        <w:t>its camp in Llapushnik/</w:t>
      </w:r>
      <w:r w:rsidR="00567405" w:rsidRPr="00641418">
        <w:rPr>
          <w:bCs/>
          <w:color w:val="000000" w:themeColor="text1"/>
        </w:rPr>
        <w:t>Lapuš</w:t>
      </w:r>
      <w:r w:rsidR="004E446D" w:rsidRPr="00641418">
        <w:rPr>
          <w:bCs/>
          <w:color w:val="000000" w:themeColor="text1"/>
        </w:rPr>
        <w:t>ni</w:t>
      </w:r>
      <w:r w:rsidR="00923977" w:rsidRPr="00641418">
        <w:rPr>
          <w:bCs/>
          <w:color w:val="000000" w:themeColor="text1"/>
        </w:rPr>
        <w:t>k</w:t>
      </w:r>
      <w:r w:rsidR="003032C7" w:rsidRPr="00641418">
        <w:rPr>
          <w:bCs/>
          <w:color w:val="000000" w:themeColor="text1"/>
        </w:rPr>
        <w:t>.</w:t>
      </w:r>
      <w:r w:rsidR="00923977" w:rsidRPr="00641418">
        <w:rPr>
          <w:bCs/>
          <w:color w:val="000000" w:themeColor="text1"/>
        </w:rPr>
        <w:t xml:space="preserve"> </w:t>
      </w:r>
      <w:r w:rsidR="003032C7" w:rsidRPr="00641418">
        <w:rPr>
          <w:bCs/>
          <w:color w:val="000000" w:themeColor="text1"/>
        </w:rPr>
        <w:t xml:space="preserve">Therefore, </w:t>
      </w:r>
      <w:r w:rsidR="00923977" w:rsidRPr="00641418">
        <w:rPr>
          <w:bCs/>
          <w:color w:val="000000" w:themeColor="text1"/>
        </w:rPr>
        <w:t xml:space="preserve">it is clear that by </w:t>
      </w:r>
      <w:r w:rsidR="003032C7" w:rsidRPr="00641418">
        <w:rPr>
          <w:bCs/>
          <w:color w:val="000000" w:themeColor="text1"/>
        </w:rPr>
        <w:t>January 2003</w:t>
      </w:r>
      <w:r w:rsidR="00195EEA" w:rsidRPr="00641418">
        <w:rPr>
          <w:bCs/>
          <w:color w:val="000000" w:themeColor="text1"/>
        </w:rPr>
        <w:t xml:space="preserve"> at</w:t>
      </w:r>
      <w:r w:rsidR="00816528" w:rsidRPr="00641418">
        <w:rPr>
          <w:bCs/>
          <w:color w:val="000000" w:themeColor="text1"/>
        </w:rPr>
        <w:t xml:space="preserve"> the</w:t>
      </w:r>
      <w:r w:rsidR="00195EEA" w:rsidRPr="00641418">
        <w:rPr>
          <w:bCs/>
          <w:color w:val="000000" w:themeColor="text1"/>
        </w:rPr>
        <w:t xml:space="preserve"> latest</w:t>
      </w:r>
      <w:r w:rsidR="003032C7" w:rsidRPr="00641418">
        <w:rPr>
          <w:bCs/>
          <w:color w:val="000000" w:themeColor="text1"/>
        </w:rPr>
        <w:t xml:space="preserve">, the </w:t>
      </w:r>
      <w:r w:rsidR="0063322C" w:rsidRPr="00641418">
        <w:rPr>
          <w:bCs/>
          <w:color w:val="000000" w:themeColor="text1"/>
        </w:rPr>
        <w:t xml:space="preserve">ICTY had </w:t>
      </w:r>
      <w:r w:rsidR="003032C7" w:rsidRPr="00641418">
        <w:rPr>
          <w:bCs/>
          <w:color w:val="000000" w:themeColor="text1"/>
        </w:rPr>
        <w:t>assumed full control of these investigations.</w:t>
      </w:r>
    </w:p>
    <w:p w:rsidR="00923977" w:rsidRPr="00641418" w:rsidRDefault="00923977" w:rsidP="00923977">
      <w:pPr>
        <w:pStyle w:val="ListParagraph"/>
        <w:rPr>
          <w:color w:val="000000" w:themeColor="text1"/>
          <w:lang w:val="en-GB"/>
        </w:rPr>
      </w:pPr>
    </w:p>
    <w:p w:rsidR="008408A5" w:rsidRPr="00641418" w:rsidRDefault="00923977"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 xml:space="preserve">It is also the </w:t>
      </w:r>
      <w:r w:rsidR="003032C7" w:rsidRPr="00641418">
        <w:rPr>
          <w:color w:val="000000" w:themeColor="text1"/>
          <w:lang w:val="en-GB"/>
        </w:rPr>
        <w:t>Panel</w:t>
      </w:r>
      <w:r w:rsidRPr="00641418">
        <w:rPr>
          <w:color w:val="000000" w:themeColor="text1"/>
          <w:lang w:val="en-GB"/>
        </w:rPr>
        <w:t>’s position that</w:t>
      </w:r>
      <w:r w:rsidR="003032C7" w:rsidRPr="00641418">
        <w:rPr>
          <w:color w:val="000000" w:themeColor="text1"/>
          <w:lang w:val="en-GB"/>
        </w:rPr>
        <w:t xml:space="preserve"> </w:t>
      </w:r>
      <w:r w:rsidR="003032C7" w:rsidRPr="00641418">
        <w:rPr>
          <w:color w:val="000000" w:themeColor="text1"/>
        </w:rPr>
        <w:t xml:space="preserve">27 September 2007, </w:t>
      </w:r>
      <w:r w:rsidRPr="00641418">
        <w:rPr>
          <w:color w:val="000000" w:themeColor="text1"/>
        </w:rPr>
        <w:t xml:space="preserve">the date when </w:t>
      </w:r>
      <w:r w:rsidR="003032C7" w:rsidRPr="00641418">
        <w:rPr>
          <w:color w:val="000000" w:themeColor="text1"/>
        </w:rPr>
        <w:t>the ICTY Appeals Chamber delivered its judgment in the case</w:t>
      </w:r>
      <w:r w:rsidR="003032C7" w:rsidRPr="00641418">
        <w:rPr>
          <w:i/>
          <w:color w:val="000000" w:themeColor="text1"/>
        </w:rPr>
        <w:t xml:space="preserve"> Limaj et al</w:t>
      </w:r>
      <w:r w:rsidR="003032C7" w:rsidRPr="00641418">
        <w:rPr>
          <w:color w:val="000000" w:themeColor="text1"/>
        </w:rPr>
        <w:t xml:space="preserve"> (IT-03-66-A)</w:t>
      </w:r>
      <w:r w:rsidR="00816528" w:rsidRPr="00641418">
        <w:rPr>
          <w:color w:val="000000" w:themeColor="text1"/>
        </w:rPr>
        <w:t>,</w:t>
      </w:r>
      <w:r w:rsidR="003032C7" w:rsidRPr="00641418">
        <w:rPr>
          <w:color w:val="000000" w:themeColor="text1"/>
        </w:rPr>
        <w:t xml:space="preserve"> </w:t>
      </w:r>
      <w:r w:rsidR="00396222" w:rsidRPr="00641418">
        <w:rPr>
          <w:color w:val="000000" w:themeColor="text1"/>
        </w:rPr>
        <w:t xml:space="preserve">might reasonably </w:t>
      </w:r>
      <w:r w:rsidR="00816528" w:rsidRPr="00641418">
        <w:rPr>
          <w:color w:val="000000" w:themeColor="text1"/>
        </w:rPr>
        <w:t xml:space="preserve">be </w:t>
      </w:r>
      <w:r w:rsidRPr="00641418">
        <w:rPr>
          <w:color w:val="000000" w:themeColor="text1"/>
        </w:rPr>
        <w:t xml:space="preserve">considered </w:t>
      </w:r>
      <w:r w:rsidR="003032C7" w:rsidRPr="00641418">
        <w:rPr>
          <w:color w:val="000000" w:themeColor="text1"/>
        </w:rPr>
        <w:t xml:space="preserve">as the end of the ICTY </w:t>
      </w:r>
      <w:r w:rsidR="003032C7" w:rsidRPr="00641418">
        <w:rPr>
          <w:color w:val="000000" w:themeColor="text1"/>
          <w:lang w:val="en-GB"/>
        </w:rPr>
        <w:t>judicial proceedings</w:t>
      </w:r>
      <w:r w:rsidR="004E446D" w:rsidRPr="00641418">
        <w:rPr>
          <w:color w:val="000000" w:themeColor="text1"/>
          <w:lang w:val="en-GB"/>
        </w:rPr>
        <w:t>.</w:t>
      </w:r>
      <w:r w:rsidR="008408A5" w:rsidRPr="00641418">
        <w:rPr>
          <w:color w:val="000000" w:themeColor="text1"/>
          <w:lang w:val="en-GB"/>
        </w:rPr>
        <w:t xml:space="preserve"> None of the accused in the case IT-03-66 </w:t>
      </w:r>
      <w:r w:rsidR="00816528" w:rsidRPr="00641418">
        <w:rPr>
          <w:color w:val="000000" w:themeColor="text1"/>
          <w:lang w:val="en-GB"/>
        </w:rPr>
        <w:t>was</w:t>
      </w:r>
      <w:r w:rsidR="008408A5" w:rsidRPr="00641418">
        <w:rPr>
          <w:color w:val="000000" w:themeColor="text1"/>
          <w:lang w:val="en-GB"/>
        </w:rPr>
        <w:t xml:space="preserve"> found to be </w:t>
      </w:r>
      <w:r w:rsidR="00816528" w:rsidRPr="00641418">
        <w:rPr>
          <w:color w:val="000000" w:themeColor="text1"/>
          <w:lang w:val="en-GB"/>
        </w:rPr>
        <w:t xml:space="preserve">guilty of </w:t>
      </w:r>
      <w:r w:rsidR="008408A5" w:rsidRPr="00641418">
        <w:rPr>
          <w:color w:val="000000" w:themeColor="text1"/>
          <w:lang w:val="en-GB"/>
        </w:rPr>
        <w:t xml:space="preserve">the abduction and disappearance of </w:t>
      </w:r>
      <w:r w:rsidR="008408A5" w:rsidRPr="00641418">
        <w:rPr>
          <w:bCs/>
          <w:color w:val="000000" w:themeColor="text1"/>
        </w:rPr>
        <w:t xml:space="preserve">Mr Slobodan Mitrović, Mr Milovan Krstić, </w:t>
      </w:r>
      <w:proofErr w:type="gramStart"/>
      <w:r w:rsidR="008408A5" w:rsidRPr="00641418">
        <w:rPr>
          <w:bCs/>
          <w:color w:val="000000" w:themeColor="text1"/>
        </w:rPr>
        <w:t>Mr</w:t>
      </w:r>
      <w:proofErr w:type="gramEnd"/>
      <w:r w:rsidR="008408A5" w:rsidRPr="00641418">
        <w:rPr>
          <w:bCs/>
          <w:color w:val="000000" w:themeColor="text1"/>
        </w:rPr>
        <w:t xml:space="preserve"> Miodrag Krsti</w:t>
      </w:r>
      <w:r w:rsidR="008408A5" w:rsidRPr="00641418">
        <w:rPr>
          <w:bCs/>
          <w:color w:val="000000" w:themeColor="text1"/>
          <w:lang w:val="sr-Latn-CS"/>
        </w:rPr>
        <w:t xml:space="preserve">ć, </w:t>
      </w:r>
      <w:r w:rsidR="008408A5" w:rsidRPr="00641418">
        <w:rPr>
          <w:bCs/>
          <w:color w:val="000000" w:themeColor="text1"/>
        </w:rPr>
        <w:t>Mr Živorad Krstić and Mr Miroslav Šuljinić.</w:t>
      </w:r>
    </w:p>
    <w:p w:rsidR="00195EEA" w:rsidRPr="00641418" w:rsidRDefault="00195EEA" w:rsidP="00195EEA">
      <w:pPr>
        <w:pStyle w:val="ListParagraph"/>
        <w:rPr>
          <w:bCs/>
          <w:color w:val="000000" w:themeColor="text1"/>
          <w:lang w:val="en-GB"/>
        </w:rPr>
      </w:pPr>
    </w:p>
    <w:p w:rsidR="007358FD" w:rsidRPr="0013465C" w:rsidRDefault="00195EEA" w:rsidP="00CA447D">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 Panel is conscious of the fact that not all </w:t>
      </w:r>
      <w:r w:rsidRPr="0013465C">
        <w:rPr>
          <w:color w:val="000000" w:themeColor="text1"/>
        </w:rPr>
        <w:t>investigations</w:t>
      </w:r>
      <w:r w:rsidRPr="0013465C">
        <w:rPr>
          <w:color w:val="000000" w:themeColor="text1"/>
          <w:lang w:val="en-GB"/>
        </w:rPr>
        <w:t xml:space="preserve"> lead to identification and successful prosecution of the perpetrator[s].</w:t>
      </w:r>
      <w:r w:rsidR="004F7204" w:rsidRPr="0013465C">
        <w:rPr>
          <w:color w:val="000000" w:themeColor="text1"/>
          <w:lang w:val="en-GB"/>
        </w:rPr>
        <w:t xml:space="preserve"> However, t</w:t>
      </w:r>
      <w:r w:rsidR="00816528" w:rsidRPr="0013465C">
        <w:rPr>
          <w:color w:val="000000" w:themeColor="text1"/>
          <w:lang w:val="en-GB"/>
        </w:rPr>
        <w:t xml:space="preserve">he Panel has also stated on many occasions that the duty to investigate is not breached merely because the </w:t>
      </w:r>
      <w:r w:rsidR="00816528" w:rsidRPr="0013465C">
        <w:rPr>
          <w:color w:val="000000" w:themeColor="text1"/>
        </w:rPr>
        <w:t>investigation</w:t>
      </w:r>
      <w:r w:rsidR="00816528" w:rsidRPr="0013465C">
        <w:rPr>
          <w:color w:val="000000" w:themeColor="text1"/>
          <w:lang w:val="en-GB"/>
        </w:rPr>
        <w:t xml:space="preserve"> does not </w:t>
      </w:r>
      <w:r w:rsidR="00816528" w:rsidRPr="0013465C">
        <w:rPr>
          <w:bCs/>
          <w:color w:val="000000" w:themeColor="text1"/>
          <w:lang w:val="en-GB"/>
        </w:rPr>
        <w:t>produce</w:t>
      </w:r>
      <w:r w:rsidR="00816528" w:rsidRPr="0013465C">
        <w:rPr>
          <w:color w:val="000000" w:themeColor="text1"/>
          <w:lang w:val="en-GB"/>
        </w:rPr>
        <w:t xml:space="preserve"> a satisfactory result and that an investigation must be undertaken in a serious manner and not be a mere formality (see e.g. HRAP, </w:t>
      </w:r>
      <w:r w:rsidR="00816528" w:rsidRPr="0013465C">
        <w:rPr>
          <w:i/>
          <w:color w:val="000000" w:themeColor="text1"/>
          <w:lang w:val="en-GB"/>
        </w:rPr>
        <w:t>Mladenović</w:t>
      </w:r>
      <w:r w:rsidR="00816528" w:rsidRPr="0013465C">
        <w:rPr>
          <w:color w:val="000000" w:themeColor="text1"/>
          <w:lang w:val="en-GB"/>
        </w:rPr>
        <w:t>, opinion of 26 June 2014, §§ 192 – 194).</w:t>
      </w:r>
      <w:r w:rsidR="004F7204" w:rsidRPr="0013465C">
        <w:rPr>
          <w:color w:val="000000" w:themeColor="text1"/>
          <w:lang w:val="en-GB"/>
        </w:rPr>
        <w:t xml:space="preserve"> </w:t>
      </w:r>
    </w:p>
    <w:p w:rsidR="00500351" w:rsidRPr="0013465C" w:rsidRDefault="00500351" w:rsidP="00500351">
      <w:pPr>
        <w:pStyle w:val="ListParagraph"/>
        <w:tabs>
          <w:tab w:val="left" w:pos="709"/>
        </w:tabs>
        <w:autoSpaceDE w:val="0"/>
        <w:ind w:left="450"/>
        <w:jc w:val="both"/>
        <w:rPr>
          <w:color w:val="000000" w:themeColor="text1"/>
          <w:lang w:val="en-GB"/>
        </w:rPr>
      </w:pPr>
    </w:p>
    <w:p w:rsidR="00500351" w:rsidRPr="0013465C" w:rsidRDefault="00500351" w:rsidP="00500351">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In this respect, the Panel recalls th</w:t>
      </w:r>
      <w:r w:rsidR="00E51FF0" w:rsidRPr="0013465C">
        <w:rPr>
          <w:color w:val="000000" w:themeColor="text1"/>
          <w:lang w:val="en-GB"/>
        </w:rPr>
        <w:t xml:space="preserve">at the </w:t>
      </w:r>
      <w:r w:rsidRPr="0013465C">
        <w:rPr>
          <w:color w:val="000000" w:themeColor="text1"/>
          <w:lang w:val="en-GB"/>
        </w:rPr>
        <w:t xml:space="preserve">European Court of Human Rights </w:t>
      </w:r>
      <w:r w:rsidR="00E51FF0" w:rsidRPr="0013465C">
        <w:rPr>
          <w:color w:val="000000" w:themeColor="text1"/>
          <w:lang w:val="en-GB"/>
        </w:rPr>
        <w:t xml:space="preserve">stated </w:t>
      </w:r>
      <w:r w:rsidRPr="0013465C">
        <w:rPr>
          <w:color w:val="000000" w:themeColor="text1"/>
          <w:lang w:val="en-GB"/>
        </w:rPr>
        <w:t>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w:t>
      </w:r>
      <w:r w:rsidR="0013465C">
        <w:rPr>
          <w:color w:val="000000" w:themeColor="text1"/>
          <w:lang w:val="en-GB"/>
        </w:rPr>
        <w:t>”</w:t>
      </w:r>
      <w:r w:rsidRPr="0013465C">
        <w:rPr>
          <w:color w:val="000000" w:themeColor="text1"/>
          <w:lang w:val="en-GB"/>
        </w:rPr>
        <w:t xml:space="preserve"> </w:t>
      </w:r>
      <w:r w:rsidRPr="0013465C">
        <w:rPr>
          <w:color w:val="000000" w:themeColor="text1"/>
        </w:rPr>
        <w:t xml:space="preserve">(ECtHR, </w:t>
      </w:r>
      <w:r w:rsidRPr="0013465C">
        <w:rPr>
          <w:i/>
          <w:color w:val="000000" w:themeColor="text1"/>
        </w:rPr>
        <w:t xml:space="preserve">Brecknell v. the United Kingdom, </w:t>
      </w:r>
      <w:r w:rsidRPr="0013465C">
        <w:rPr>
          <w:color w:val="000000" w:themeColor="text1"/>
        </w:rPr>
        <w:t xml:space="preserve">cited in § </w:t>
      </w:r>
      <w:r w:rsidR="009C2A5A">
        <w:fldChar w:fldCharType="begin"/>
      </w:r>
      <w:r w:rsidR="009C2A5A">
        <w:instrText xml:space="preserve"> REF _Ref398313089 \r \h  \* MERGEFORMAT </w:instrText>
      </w:r>
      <w:r w:rsidR="009C2A5A">
        <w:fldChar w:fldCharType="separate"/>
      </w:r>
      <w:r w:rsidR="009C2A5A" w:rsidRPr="009C2A5A">
        <w:rPr>
          <w:color w:val="000000" w:themeColor="text1"/>
        </w:rPr>
        <w:t>188</w:t>
      </w:r>
      <w:r w:rsidR="009C2A5A">
        <w:fldChar w:fldCharType="end"/>
      </w:r>
      <w:r w:rsidRPr="0013465C">
        <w:rPr>
          <w:color w:val="000000" w:themeColor="text1"/>
        </w:rPr>
        <w:t xml:space="preserve"> above, at § 69).</w:t>
      </w:r>
      <w:r w:rsidR="00E51FF0" w:rsidRPr="0013465C">
        <w:rPr>
          <w:color w:val="000000" w:themeColor="text1"/>
        </w:rPr>
        <w:t xml:space="preserve"> It also recalls that the ECtHR stressed that the effective investigat</w:t>
      </w:r>
      <w:r w:rsidR="0013465C">
        <w:rPr>
          <w:color w:val="000000" w:themeColor="text1"/>
        </w:rPr>
        <w:t xml:space="preserve">ion should cover </w:t>
      </w:r>
      <w:r w:rsidR="00E51FF0" w:rsidRPr="0013465C">
        <w:rPr>
          <w:color w:val="000000" w:themeColor="text1"/>
        </w:rPr>
        <w:t>“</w:t>
      </w:r>
      <w:r w:rsidR="00E51FF0" w:rsidRPr="0013465C">
        <w:rPr>
          <w:color w:val="000000" w:themeColor="text1"/>
          <w:lang w:val="en-GB"/>
        </w:rPr>
        <w:t>not only those having the command responsibility but direct perpetrators as well in order to prevent any appearance of tolerance of or collusion in</w:t>
      </w:r>
      <w:r w:rsidR="00E51FF0" w:rsidRPr="0013465C">
        <w:t xml:space="preserve"> unlawful acts” (ECtHR, </w:t>
      </w:r>
      <w:r w:rsidR="00E51FF0" w:rsidRPr="0013465C">
        <w:rPr>
          <w:i/>
        </w:rPr>
        <w:t>Jelić v. Croatia</w:t>
      </w:r>
      <w:r w:rsidR="00E51FF0" w:rsidRPr="0013465C">
        <w:t xml:space="preserve">, cited in § </w:t>
      </w:r>
      <w:r w:rsidR="009C2A5A">
        <w:fldChar w:fldCharType="begin"/>
      </w:r>
      <w:r w:rsidR="009C2A5A">
        <w:instrText xml:space="preserve"> REF _Ref403476081 \r \h  \* MERGEFORMAT </w:instrText>
      </w:r>
      <w:r w:rsidR="009C2A5A">
        <w:fldChar w:fldCharType="separate"/>
      </w:r>
      <w:r w:rsidR="009C2A5A">
        <w:t>173</w:t>
      </w:r>
      <w:r w:rsidR="009C2A5A">
        <w:fldChar w:fldCharType="end"/>
      </w:r>
      <w:r w:rsidR="00E51FF0" w:rsidRPr="0013465C">
        <w:t xml:space="preserve"> above, at § 94).</w:t>
      </w:r>
    </w:p>
    <w:p w:rsidR="00E51FF0" w:rsidRPr="0013465C" w:rsidRDefault="00E51FF0" w:rsidP="00E51FF0">
      <w:pPr>
        <w:pStyle w:val="ListParagraph"/>
        <w:tabs>
          <w:tab w:val="left" w:pos="709"/>
        </w:tabs>
        <w:autoSpaceDE w:val="0"/>
        <w:ind w:left="450"/>
        <w:jc w:val="both"/>
        <w:rPr>
          <w:color w:val="000000" w:themeColor="text1"/>
          <w:lang w:val="en-GB"/>
        </w:rPr>
      </w:pPr>
    </w:p>
    <w:p w:rsidR="00BF4AA7" w:rsidRPr="0013465C" w:rsidRDefault="00BF4AA7" w:rsidP="00BF4AA7">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Therefore, considering the fact that neither the mortal remains of the victims have been located nor those responsible for </w:t>
      </w:r>
      <w:r w:rsidRPr="0013465C">
        <w:rPr>
          <w:color w:val="000000" w:themeColor="text1"/>
        </w:rPr>
        <w:t xml:space="preserve">their abduction and disappearance have </w:t>
      </w:r>
      <w:r w:rsidRPr="0013465C">
        <w:rPr>
          <w:color w:val="000000" w:themeColor="text1"/>
          <w:lang w:val="en-GB"/>
        </w:rPr>
        <w:t>been brought to justice, the Panel concludes that the procedural obligation under Article 2 of the ECHR was not discharged and should have been continued, although a long time had passed from the alleged crimes.</w:t>
      </w:r>
    </w:p>
    <w:p w:rsidR="004F7204" w:rsidRPr="0013465C" w:rsidRDefault="004F7204" w:rsidP="004F7204">
      <w:pPr>
        <w:pStyle w:val="ListParagraph"/>
        <w:rPr>
          <w:color w:val="000000" w:themeColor="text1"/>
          <w:lang w:val="en-GB"/>
        </w:rPr>
      </w:pPr>
    </w:p>
    <w:p w:rsidR="007358FD" w:rsidRPr="00641418" w:rsidRDefault="00082735" w:rsidP="008408A5">
      <w:pPr>
        <w:pStyle w:val="ListParagraph"/>
        <w:numPr>
          <w:ilvl w:val="0"/>
          <w:numId w:val="2"/>
        </w:numPr>
        <w:tabs>
          <w:tab w:val="clear" w:pos="360"/>
          <w:tab w:val="num" w:pos="450"/>
        </w:tabs>
        <w:autoSpaceDE w:val="0"/>
        <w:ind w:left="450" w:hanging="450"/>
        <w:jc w:val="both"/>
        <w:rPr>
          <w:color w:val="000000" w:themeColor="text1"/>
          <w:lang w:val="en-GB"/>
        </w:rPr>
      </w:pPr>
      <w:r w:rsidRPr="0013465C">
        <w:rPr>
          <w:color w:val="000000" w:themeColor="text1"/>
          <w:lang w:val="en-GB"/>
        </w:rPr>
        <w:lastRenderedPageBreak/>
        <w:t>I</w:t>
      </w:r>
      <w:r w:rsidR="00396222" w:rsidRPr="0013465C">
        <w:rPr>
          <w:color w:val="000000" w:themeColor="text1"/>
          <w:lang w:val="en-GB"/>
        </w:rPr>
        <w:t xml:space="preserve">n the Panel’s view, </w:t>
      </w:r>
      <w:r w:rsidR="00195EEA" w:rsidRPr="0013465C">
        <w:rPr>
          <w:color w:val="000000" w:themeColor="text1"/>
          <w:lang w:val="en-GB"/>
        </w:rPr>
        <w:t xml:space="preserve">after </w:t>
      </w:r>
      <w:r w:rsidR="004F7204" w:rsidRPr="0013465C">
        <w:rPr>
          <w:color w:val="000000" w:themeColor="text1"/>
          <w:lang w:val="en-GB"/>
        </w:rPr>
        <w:t>the ICTY Appeals Chamber’s decision in September 2007</w:t>
      </w:r>
      <w:r w:rsidR="00CA447D" w:rsidRPr="0013465C">
        <w:rPr>
          <w:color w:val="000000" w:themeColor="text1"/>
          <w:lang w:val="en-GB"/>
        </w:rPr>
        <w:t xml:space="preserve">, </w:t>
      </w:r>
      <w:r w:rsidR="004A7A8D" w:rsidRPr="0013465C">
        <w:rPr>
          <w:color w:val="000000" w:themeColor="text1"/>
          <w:lang w:val="en-GB"/>
        </w:rPr>
        <w:t xml:space="preserve">in accordance with the continuous obligation to investigate, </w:t>
      </w:r>
      <w:r w:rsidR="00195EEA" w:rsidRPr="0013465C">
        <w:rPr>
          <w:color w:val="000000" w:themeColor="text1"/>
          <w:lang w:val="en-GB"/>
        </w:rPr>
        <w:t>the</w:t>
      </w:r>
      <w:r w:rsidR="00F63CAF" w:rsidRPr="0013465C">
        <w:rPr>
          <w:color w:val="000000" w:themeColor="text1"/>
          <w:lang w:val="en-GB"/>
        </w:rPr>
        <w:t xml:space="preserve"> competence to do so should have been formally transferred back to UNMIK. The</w:t>
      </w:r>
      <w:r w:rsidR="004F7204" w:rsidRPr="0013465C">
        <w:rPr>
          <w:color w:val="000000" w:themeColor="text1"/>
          <w:lang w:val="en-GB"/>
        </w:rPr>
        <w:t xml:space="preserve">n it would be for the UNMIK authorities </w:t>
      </w:r>
      <w:r w:rsidR="008408A5" w:rsidRPr="0013465C">
        <w:rPr>
          <w:color w:val="000000" w:themeColor="text1"/>
          <w:lang w:val="en-GB"/>
        </w:rPr>
        <w:t xml:space="preserve">to use the means at their disposal to review the </w:t>
      </w:r>
      <w:r w:rsidR="008408A5" w:rsidRPr="0013465C">
        <w:rPr>
          <w:bCs/>
          <w:color w:val="000000" w:themeColor="text1"/>
          <w:lang w:val="en-GB"/>
        </w:rPr>
        <w:t>investigation</w:t>
      </w:r>
      <w:r w:rsidR="008408A5" w:rsidRPr="0013465C">
        <w:rPr>
          <w:color w:val="000000" w:themeColor="text1"/>
          <w:lang w:val="en-GB"/>
        </w:rPr>
        <w:t xml:space="preserve"> to </w:t>
      </w:r>
      <w:r w:rsidR="008408A5" w:rsidRPr="0013465C">
        <w:rPr>
          <w:color w:val="000000" w:themeColor="text1"/>
        </w:rPr>
        <w:t>ensure</w:t>
      </w:r>
      <w:r w:rsidR="008408A5" w:rsidRPr="0013465C">
        <w:rPr>
          <w:color w:val="000000" w:themeColor="text1"/>
          <w:lang w:val="en-GB"/>
        </w:rPr>
        <w:t xml:space="preserve"> that nothing had been overlooked, as well as to inform relatives regarding the </w:t>
      </w:r>
      <w:r w:rsidR="004F7204" w:rsidRPr="0013465C">
        <w:rPr>
          <w:color w:val="000000" w:themeColor="text1"/>
          <w:lang w:val="en-GB"/>
        </w:rPr>
        <w:t>progress of this</w:t>
      </w:r>
      <w:r w:rsidR="004F7204" w:rsidRPr="00641418">
        <w:rPr>
          <w:color w:val="000000" w:themeColor="text1"/>
          <w:lang w:val="en-GB"/>
        </w:rPr>
        <w:t xml:space="preserve"> investigation.</w:t>
      </w:r>
    </w:p>
    <w:p w:rsidR="007358FD" w:rsidRPr="00641418" w:rsidRDefault="007358FD" w:rsidP="007358FD">
      <w:pPr>
        <w:pStyle w:val="ListParagraph"/>
        <w:rPr>
          <w:color w:val="000000" w:themeColor="text1"/>
          <w:lang w:val="en-GB"/>
        </w:rPr>
      </w:pPr>
    </w:p>
    <w:p w:rsidR="008408A5" w:rsidRPr="00641418" w:rsidRDefault="004F7204" w:rsidP="008408A5">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UNMIK’s subsequent action in relation to this investigation can be examined by the Panel, as </w:t>
      </w:r>
      <w:r w:rsidR="007358FD" w:rsidRPr="00641418">
        <w:rPr>
          <w:color w:val="000000" w:themeColor="text1"/>
          <w:lang w:val="en-GB"/>
        </w:rPr>
        <w:t xml:space="preserve">it </w:t>
      </w:r>
      <w:r w:rsidRPr="00641418">
        <w:rPr>
          <w:color w:val="000000" w:themeColor="text1"/>
          <w:lang w:val="en-GB"/>
        </w:rPr>
        <w:t>fall</w:t>
      </w:r>
      <w:r w:rsidR="007358FD" w:rsidRPr="00641418">
        <w:rPr>
          <w:color w:val="000000" w:themeColor="text1"/>
          <w:lang w:val="en-GB"/>
        </w:rPr>
        <w:t>s</w:t>
      </w:r>
      <w:r w:rsidRPr="00641418">
        <w:rPr>
          <w:color w:val="000000" w:themeColor="text1"/>
          <w:lang w:val="en-GB"/>
        </w:rPr>
        <w:t xml:space="preserve"> within the period of the Panel’s temporal jurisdiction. However, the period of the Panel’s review in </w:t>
      </w:r>
      <w:r w:rsidR="00CA447D" w:rsidRPr="00641418">
        <w:rPr>
          <w:color w:val="000000" w:themeColor="text1"/>
          <w:lang w:val="en-GB"/>
        </w:rPr>
        <w:t>this</w:t>
      </w:r>
      <w:r w:rsidRPr="00641418">
        <w:rPr>
          <w:color w:val="000000" w:themeColor="text1"/>
          <w:lang w:val="en-GB"/>
        </w:rPr>
        <w:t xml:space="preserve"> situation ends on 9 December 2008, when with EULEX assumed full operational control in the area of the rule of law (see § </w:t>
      </w:r>
      <w:r w:rsidR="009C2A5A">
        <w:fldChar w:fldCharType="begin"/>
      </w:r>
      <w:r w:rsidR="009C2A5A">
        <w:instrText xml:space="preserve"> REF _Ref401243163 \r \h  \* MERGEFORMAT </w:instrText>
      </w:r>
      <w:r w:rsidR="009C2A5A">
        <w:fldChar w:fldCharType="separate"/>
      </w:r>
      <w:r w:rsidR="009C2A5A" w:rsidRPr="009C2A5A">
        <w:rPr>
          <w:color w:val="000000" w:themeColor="text1"/>
          <w:lang w:val="en-GB"/>
        </w:rPr>
        <w:t>37</w:t>
      </w:r>
      <w:r w:rsidR="009C2A5A">
        <w:fldChar w:fldCharType="end"/>
      </w:r>
      <w:r w:rsidRPr="00641418">
        <w:rPr>
          <w:color w:val="000000" w:themeColor="text1"/>
          <w:lang w:val="en-GB"/>
        </w:rPr>
        <w:t xml:space="preserve"> above). </w:t>
      </w:r>
      <w:r w:rsidR="00CA447D" w:rsidRPr="00641418">
        <w:rPr>
          <w:color w:val="000000" w:themeColor="text1"/>
          <w:lang w:val="en-GB"/>
        </w:rPr>
        <w:t>The action of authorities, other than UNMIK, a</w:t>
      </w:r>
      <w:r w:rsidRPr="00641418">
        <w:rPr>
          <w:color w:val="000000" w:themeColor="text1"/>
          <w:lang w:val="en-GB"/>
        </w:rPr>
        <w:t xml:space="preserve">fter </w:t>
      </w:r>
      <w:r w:rsidR="00CA447D" w:rsidRPr="00641418">
        <w:rPr>
          <w:color w:val="000000" w:themeColor="text1"/>
          <w:lang w:val="en-GB"/>
        </w:rPr>
        <w:t>that time</w:t>
      </w:r>
      <w:r w:rsidRPr="00641418">
        <w:rPr>
          <w:color w:val="000000" w:themeColor="text1"/>
          <w:lang w:val="en-GB"/>
        </w:rPr>
        <w:t xml:space="preserve"> </w:t>
      </w:r>
      <w:r w:rsidR="007358FD" w:rsidRPr="00641418">
        <w:rPr>
          <w:color w:val="000000" w:themeColor="text1"/>
          <w:lang w:val="en-GB"/>
        </w:rPr>
        <w:t xml:space="preserve">does </w:t>
      </w:r>
      <w:r w:rsidRPr="00641418">
        <w:rPr>
          <w:color w:val="000000" w:themeColor="text1"/>
          <w:lang w:val="en-GB"/>
        </w:rPr>
        <w:t xml:space="preserve">fall outside </w:t>
      </w:r>
      <w:r w:rsidR="00CA447D" w:rsidRPr="00641418">
        <w:rPr>
          <w:color w:val="000000" w:themeColor="text1"/>
          <w:lang w:val="en-GB"/>
        </w:rPr>
        <w:t xml:space="preserve">the Panel’s </w:t>
      </w:r>
      <w:r w:rsidRPr="00641418">
        <w:rPr>
          <w:color w:val="000000" w:themeColor="text1"/>
          <w:lang w:val="en-GB"/>
        </w:rPr>
        <w:t xml:space="preserve">jurisdiction (see §§ </w:t>
      </w:r>
      <w:r w:rsidR="009C2A5A">
        <w:fldChar w:fldCharType="begin"/>
      </w:r>
      <w:r w:rsidR="009C2A5A">
        <w:instrText xml:space="preserve"> REF _Ref401157489 \r \h  \* MERGEFORMAT </w:instrText>
      </w:r>
      <w:r w:rsidR="009C2A5A">
        <w:fldChar w:fldCharType="separate"/>
      </w:r>
      <w:r w:rsidR="009C2A5A" w:rsidRPr="009C2A5A">
        <w:rPr>
          <w:color w:val="000000" w:themeColor="text1"/>
          <w:lang w:val="en-GB"/>
        </w:rPr>
        <w:t>140</w:t>
      </w:r>
      <w:r w:rsidR="009C2A5A">
        <w:fldChar w:fldCharType="end"/>
      </w:r>
      <w:r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w:t>
      </w:r>
    </w:p>
    <w:p w:rsidR="00E932CE" w:rsidRPr="00641418" w:rsidRDefault="00E932CE" w:rsidP="00E932CE">
      <w:pPr>
        <w:pStyle w:val="ListParagraph"/>
        <w:rPr>
          <w:color w:val="000000" w:themeColor="text1"/>
          <w:lang w:val="en-GB"/>
        </w:rPr>
      </w:pPr>
      <w:bookmarkStart w:id="73" w:name="_Ref398547232"/>
    </w:p>
    <w:p w:rsidR="000C7114"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The Panel</w:t>
      </w:r>
      <w:r w:rsidR="00CA447D" w:rsidRPr="00641418">
        <w:rPr>
          <w:color w:val="000000" w:themeColor="text1"/>
          <w:lang w:val="en-GB"/>
        </w:rPr>
        <w:t xml:space="preserve"> </w:t>
      </w:r>
      <w:r w:rsidRPr="00641418">
        <w:rPr>
          <w:color w:val="000000" w:themeColor="text1"/>
          <w:lang w:val="en-GB"/>
        </w:rPr>
        <w:t xml:space="preserve">notes that </w:t>
      </w:r>
      <w:r w:rsidR="004F06E7" w:rsidRPr="00641418">
        <w:rPr>
          <w:color w:val="000000" w:themeColor="text1"/>
          <w:lang w:val="en-GB"/>
        </w:rPr>
        <w:t xml:space="preserve">it is not clear whether the </w:t>
      </w:r>
      <w:r w:rsidRPr="00641418">
        <w:rPr>
          <w:color w:val="000000" w:themeColor="text1"/>
          <w:lang w:val="en-GB"/>
        </w:rPr>
        <w:t xml:space="preserve">authority to continue the investigations into </w:t>
      </w:r>
      <w:r w:rsidRPr="00641418">
        <w:rPr>
          <w:color w:val="000000" w:themeColor="text1"/>
        </w:rPr>
        <w:t xml:space="preserve">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 xml:space="preserve">Mr Živorad Krstić and Mr Miroslav Šuljinić, together with the investigative files, </w:t>
      </w:r>
      <w:r w:rsidR="0028771F" w:rsidRPr="00641418">
        <w:rPr>
          <w:color w:val="000000" w:themeColor="text1"/>
          <w:lang w:val="en-GB"/>
        </w:rPr>
        <w:t xml:space="preserve">were </w:t>
      </w:r>
      <w:r w:rsidRPr="00641418">
        <w:rPr>
          <w:color w:val="000000" w:themeColor="text1"/>
          <w:lang w:val="en-GB"/>
        </w:rPr>
        <w:t xml:space="preserve">officially </w:t>
      </w:r>
      <w:r w:rsidR="0028771F" w:rsidRPr="00641418">
        <w:rPr>
          <w:color w:val="000000" w:themeColor="text1"/>
          <w:lang w:val="en-GB"/>
        </w:rPr>
        <w:t xml:space="preserve">transferred </w:t>
      </w:r>
      <w:r w:rsidRPr="00641418">
        <w:rPr>
          <w:color w:val="000000" w:themeColor="text1"/>
          <w:lang w:val="en-GB"/>
        </w:rPr>
        <w:t xml:space="preserve">from ICTY </w:t>
      </w:r>
      <w:r w:rsidR="0028771F" w:rsidRPr="00641418">
        <w:rPr>
          <w:color w:val="000000" w:themeColor="text1"/>
          <w:lang w:val="en-GB"/>
        </w:rPr>
        <w:t>back to UNMIK</w:t>
      </w:r>
      <w:r w:rsidR="00A565BA" w:rsidRPr="00641418">
        <w:rPr>
          <w:color w:val="000000" w:themeColor="text1"/>
          <w:lang w:val="en-GB"/>
        </w:rPr>
        <w:t>, and if so</w:t>
      </w:r>
      <w:r w:rsidR="00CA447D" w:rsidRPr="00641418">
        <w:rPr>
          <w:color w:val="000000" w:themeColor="text1"/>
          <w:lang w:val="en-GB"/>
        </w:rPr>
        <w:t xml:space="preserve">, when such transfer took place. Nevertheless, </w:t>
      </w:r>
      <w:r w:rsidR="004F06E7" w:rsidRPr="00641418">
        <w:rPr>
          <w:color w:val="000000" w:themeColor="text1"/>
          <w:lang w:val="en-GB"/>
        </w:rPr>
        <w:t xml:space="preserve">the </w:t>
      </w:r>
      <w:r w:rsidRPr="00641418">
        <w:rPr>
          <w:color w:val="000000" w:themeColor="text1"/>
          <w:lang w:val="en-GB"/>
        </w:rPr>
        <w:t xml:space="preserve">documents presented to the Panel show </w:t>
      </w:r>
      <w:r w:rsidR="004F06E7" w:rsidRPr="00641418">
        <w:rPr>
          <w:color w:val="000000" w:themeColor="text1"/>
          <w:lang w:val="en-GB"/>
        </w:rPr>
        <w:t xml:space="preserve">that </w:t>
      </w:r>
      <w:r w:rsidRPr="00641418">
        <w:rPr>
          <w:color w:val="000000" w:themeColor="text1"/>
          <w:lang w:val="en-GB"/>
        </w:rPr>
        <w:t xml:space="preserve">some </w:t>
      </w:r>
      <w:r w:rsidR="004F06E7" w:rsidRPr="00641418">
        <w:rPr>
          <w:color w:val="000000" w:themeColor="text1"/>
          <w:lang w:val="en-GB"/>
        </w:rPr>
        <w:t xml:space="preserve">investigative action was undertaken by UNMIK </w:t>
      </w:r>
      <w:r w:rsidR="00CA447D" w:rsidRPr="00641418">
        <w:rPr>
          <w:color w:val="000000" w:themeColor="text1"/>
          <w:lang w:val="en-GB"/>
        </w:rPr>
        <w:t xml:space="preserve">IP and </w:t>
      </w:r>
      <w:r w:rsidR="004F06E7" w:rsidRPr="00641418">
        <w:rPr>
          <w:color w:val="000000" w:themeColor="text1"/>
          <w:lang w:val="en-GB"/>
        </w:rPr>
        <w:t>WCIU</w:t>
      </w:r>
      <w:r w:rsidRPr="00641418">
        <w:rPr>
          <w:color w:val="000000" w:themeColor="text1"/>
          <w:lang w:val="en-GB"/>
        </w:rPr>
        <w:t xml:space="preserve">, </w:t>
      </w:r>
      <w:r w:rsidR="000C7114" w:rsidRPr="00641418">
        <w:rPr>
          <w:color w:val="000000" w:themeColor="text1"/>
          <w:lang w:val="en-GB"/>
        </w:rPr>
        <w:t xml:space="preserve">in an </w:t>
      </w:r>
      <w:r w:rsidR="00CA447D" w:rsidRPr="00641418">
        <w:rPr>
          <w:bCs/>
          <w:color w:val="000000" w:themeColor="text1"/>
        </w:rPr>
        <w:t>attempt</w:t>
      </w:r>
      <w:r w:rsidR="000C7114" w:rsidRPr="00641418">
        <w:rPr>
          <w:bCs/>
          <w:color w:val="000000" w:themeColor="text1"/>
        </w:rPr>
        <w:t xml:space="preserve"> </w:t>
      </w:r>
      <w:r w:rsidR="00CA447D" w:rsidRPr="00641418">
        <w:rPr>
          <w:bCs/>
          <w:color w:val="000000" w:themeColor="text1"/>
        </w:rPr>
        <w:t xml:space="preserve">to link the alleged fraudulent sale of </w:t>
      </w:r>
      <w:r w:rsidR="00CA447D" w:rsidRPr="00641418">
        <w:rPr>
          <w:color w:val="000000" w:themeColor="text1"/>
          <w:lang w:val="en-GB"/>
        </w:rPr>
        <w:t>of Mr Živorad Krstić’s immovable property</w:t>
      </w:r>
      <w:r w:rsidR="00CA447D" w:rsidRPr="00641418">
        <w:rPr>
          <w:bCs/>
          <w:color w:val="000000" w:themeColor="text1"/>
        </w:rPr>
        <w:t xml:space="preserve"> to his abduction</w:t>
      </w:r>
      <w:r w:rsidR="00CA447D" w:rsidRPr="00641418">
        <w:rPr>
          <w:color w:val="000000" w:themeColor="text1"/>
          <w:lang w:val="en-GB"/>
        </w:rPr>
        <w:t xml:space="preserve"> </w:t>
      </w:r>
      <w:r w:rsidR="004F06E7"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082735" w:rsidRPr="00641418">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4F06E7" w:rsidRPr="00641418">
        <w:rPr>
          <w:color w:val="000000" w:themeColor="text1"/>
          <w:lang w:val="en-GB"/>
        </w:rPr>
        <w:t xml:space="preserve"> above)</w:t>
      </w:r>
      <w:r w:rsidRPr="00641418">
        <w:rPr>
          <w:color w:val="000000" w:themeColor="text1"/>
          <w:lang w:val="en-GB"/>
        </w:rPr>
        <w:t xml:space="preserve">, although </w:t>
      </w:r>
      <w:r w:rsidR="004F06E7" w:rsidRPr="00641418">
        <w:rPr>
          <w:color w:val="000000" w:themeColor="text1"/>
          <w:lang w:val="en-GB"/>
        </w:rPr>
        <w:t>without a satisfactory conclusion.</w:t>
      </w:r>
    </w:p>
    <w:p w:rsidR="000C7114" w:rsidRPr="00641418" w:rsidRDefault="000C7114" w:rsidP="000C7114">
      <w:pPr>
        <w:pStyle w:val="ListParagraph"/>
        <w:rPr>
          <w:color w:val="000000" w:themeColor="text1"/>
          <w:lang w:val="en-GB"/>
        </w:rPr>
      </w:pPr>
    </w:p>
    <w:p w:rsidR="00E932CE"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In any </w:t>
      </w:r>
      <w:r w:rsidR="000C7114" w:rsidRPr="00641418">
        <w:rPr>
          <w:color w:val="000000" w:themeColor="text1"/>
          <w:lang w:val="en-GB"/>
        </w:rPr>
        <w:t xml:space="preserve">event, </w:t>
      </w:r>
      <w:r w:rsidRPr="00641418">
        <w:rPr>
          <w:color w:val="000000" w:themeColor="text1"/>
          <w:lang w:val="en-GB"/>
        </w:rPr>
        <w:t xml:space="preserve">the Panel considers that </w:t>
      </w:r>
      <w:r w:rsidR="004F06E7" w:rsidRPr="00641418">
        <w:rPr>
          <w:color w:val="000000" w:themeColor="text1"/>
          <w:lang w:val="en-GB"/>
        </w:rPr>
        <w:t xml:space="preserve">the one-year period from September 2007 </w:t>
      </w:r>
      <w:r w:rsidRPr="00641418">
        <w:rPr>
          <w:color w:val="000000" w:themeColor="text1"/>
          <w:lang w:val="en-GB"/>
        </w:rPr>
        <w:t>(</w:t>
      </w:r>
      <w:r w:rsidR="00A565BA" w:rsidRPr="00641418">
        <w:rPr>
          <w:color w:val="000000" w:themeColor="text1"/>
          <w:lang w:val="en-GB"/>
        </w:rPr>
        <w:t>deemed as the end</w:t>
      </w:r>
      <w:r w:rsidRPr="00641418">
        <w:rPr>
          <w:color w:val="000000" w:themeColor="text1"/>
          <w:lang w:val="en-GB"/>
        </w:rPr>
        <w:t xml:space="preserve"> of the ICTY’s jurisdiction</w:t>
      </w:r>
      <w:r w:rsidR="00A565BA" w:rsidRPr="00641418">
        <w:rPr>
          <w:color w:val="000000" w:themeColor="text1"/>
          <w:lang w:val="en-GB"/>
        </w:rPr>
        <w:t xml:space="preserve"> over these investigations</w:t>
      </w:r>
      <w:r w:rsidRPr="00641418">
        <w:rPr>
          <w:color w:val="000000" w:themeColor="text1"/>
          <w:lang w:val="en-GB"/>
        </w:rPr>
        <w:t xml:space="preserve">) </w:t>
      </w:r>
      <w:r w:rsidR="004F06E7" w:rsidRPr="00641418">
        <w:rPr>
          <w:color w:val="000000" w:themeColor="text1"/>
          <w:lang w:val="en-GB"/>
        </w:rPr>
        <w:t xml:space="preserve">until December 2008 </w:t>
      </w:r>
      <w:r w:rsidRPr="00641418">
        <w:rPr>
          <w:color w:val="000000" w:themeColor="text1"/>
          <w:lang w:val="en-GB"/>
        </w:rPr>
        <w:t>(</w:t>
      </w:r>
      <w:r w:rsidR="004F06E7" w:rsidRPr="00641418">
        <w:rPr>
          <w:color w:val="000000" w:themeColor="text1"/>
          <w:lang w:val="en-GB"/>
        </w:rPr>
        <w:t xml:space="preserve">the end of </w:t>
      </w:r>
      <w:r w:rsidRPr="00641418">
        <w:rPr>
          <w:color w:val="000000" w:themeColor="text1"/>
          <w:lang w:val="en-GB"/>
        </w:rPr>
        <w:t>UNMIK’s</w:t>
      </w:r>
      <w:r w:rsidR="004F06E7" w:rsidRPr="00641418">
        <w:rPr>
          <w:color w:val="000000" w:themeColor="text1"/>
          <w:lang w:val="en-GB"/>
        </w:rPr>
        <w:t xml:space="preserve"> executive authority in Kosovo), is </w:t>
      </w:r>
      <w:r w:rsidR="002914A6">
        <w:rPr>
          <w:color w:val="000000" w:themeColor="text1"/>
          <w:lang w:val="en-GB"/>
        </w:rPr>
        <w:t xml:space="preserve">an </w:t>
      </w:r>
      <w:r w:rsidR="004F06E7" w:rsidRPr="00641418">
        <w:rPr>
          <w:color w:val="000000" w:themeColor="text1"/>
          <w:lang w:val="en-GB"/>
        </w:rPr>
        <w:t xml:space="preserve">insufficient </w:t>
      </w:r>
      <w:r w:rsidR="002914A6">
        <w:rPr>
          <w:color w:val="000000" w:themeColor="text1"/>
          <w:lang w:val="en-GB"/>
        </w:rPr>
        <w:t>period f</w:t>
      </w:r>
      <w:r w:rsidR="004F06E7" w:rsidRPr="00641418">
        <w:rPr>
          <w:color w:val="000000" w:themeColor="text1"/>
          <w:lang w:val="en-GB"/>
        </w:rPr>
        <w:t xml:space="preserve">or </w:t>
      </w:r>
      <w:r w:rsidR="002914A6">
        <w:rPr>
          <w:color w:val="000000" w:themeColor="text1"/>
          <w:lang w:val="en-GB"/>
        </w:rPr>
        <w:t>any assessment of an adequacy of the investigation by UNMIK. Therefore, the Panel has no grounds</w:t>
      </w:r>
      <w:r w:rsidR="004F06E7" w:rsidRPr="00641418">
        <w:rPr>
          <w:color w:val="000000" w:themeColor="text1"/>
          <w:lang w:val="en-GB"/>
        </w:rPr>
        <w:t xml:space="preserve"> </w:t>
      </w:r>
      <w:r w:rsidR="002914A6">
        <w:rPr>
          <w:color w:val="000000" w:themeColor="text1"/>
          <w:lang w:val="en-GB"/>
        </w:rPr>
        <w:t>for finding a vi</w:t>
      </w:r>
      <w:r w:rsidR="004F06E7" w:rsidRPr="00641418">
        <w:rPr>
          <w:color w:val="000000" w:themeColor="text1"/>
          <w:lang w:val="en-GB"/>
        </w:rPr>
        <w:t>olation of Article 2 of the ECHR</w:t>
      </w:r>
      <w:r w:rsidRPr="00641418">
        <w:rPr>
          <w:color w:val="000000" w:themeColor="text1"/>
          <w:lang w:val="en-GB"/>
        </w:rPr>
        <w:t xml:space="preserve"> on the </w:t>
      </w:r>
      <w:r w:rsidR="00A565BA" w:rsidRPr="00641418">
        <w:rPr>
          <w:color w:val="000000" w:themeColor="text1"/>
          <w:lang w:val="en-GB"/>
        </w:rPr>
        <w:t>part</w:t>
      </w:r>
      <w:r w:rsidRPr="00641418">
        <w:rPr>
          <w:color w:val="000000" w:themeColor="text1"/>
          <w:lang w:val="en-GB"/>
        </w:rPr>
        <w:t xml:space="preserve"> of UNMIK.</w:t>
      </w:r>
    </w:p>
    <w:bookmarkEnd w:id="73"/>
    <w:p w:rsidR="0024522D" w:rsidRPr="00641418" w:rsidRDefault="0024522D" w:rsidP="0024522D">
      <w:pPr>
        <w:pStyle w:val="ListParagraph"/>
        <w:autoSpaceDE w:val="0"/>
        <w:ind w:left="450"/>
        <w:jc w:val="both"/>
        <w:rPr>
          <w:color w:val="000000" w:themeColor="text1"/>
          <w:lang w:val="en-GB"/>
        </w:rPr>
      </w:pPr>
    </w:p>
    <w:p w:rsidR="00987759" w:rsidRPr="00641418" w:rsidRDefault="00CC3B3D" w:rsidP="003D4233">
      <w:pPr>
        <w:pStyle w:val="ListParagraph"/>
        <w:numPr>
          <w:ilvl w:val="0"/>
          <w:numId w:val="2"/>
        </w:numPr>
        <w:tabs>
          <w:tab w:val="clear" w:pos="360"/>
        </w:tabs>
        <w:autoSpaceDE w:val="0"/>
        <w:ind w:left="450" w:hanging="450"/>
        <w:jc w:val="both"/>
        <w:rPr>
          <w:color w:val="000000" w:themeColor="text1"/>
        </w:rPr>
      </w:pPr>
      <w:bookmarkStart w:id="74" w:name="_Ref384734187"/>
      <w:r w:rsidRPr="00641418">
        <w:rPr>
          <w:color w:val="000000" w:themeColor="text1"/>
        </w:rPr>
        <w:t xml:space="preserve">The Panel </w:t>
      </w:r>
      <w:r w:rsidR="00534005" w:rsidRPr="00641418">
        <w:rPr>
          <w:color w:val="000000" w:themeColor="text1"/>
        </w:rPr>
        <w:t xml:space="preserve">deeply </w:t>
      </w:r>
      <w:r w:rsidRPr="00641418">
        <w:rPr>
          <w:color w:val="000000" w:themeColor="text1"/>
        </w:rPr>
        <w:t>regrets that the investigation and the judicial proceedings at the ICTY</w:t>
      </w:r>
      <w:r w:rsidR="00887CB9" w:rsidRPr="00641418">
        <w:rPr>
          <w:color w:val="000000" w:themeColor="text1"/>
        </w:rPr>
        <w:t xml:space="preserve">, as well as those conducted by UNMIK, </w:t>
      </w:r>
      <w:r w:rsidRPr="00641418">
        <w:rPr>
          <w:color w:val="000000" w:themeColor="text1"/>
        </w:rPr>
        <w:t xml:space="preserve">have not to date been able to identify the persons responsible for the 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color w:val="000000" w:themeColor="text1"/>
        </w:rPr>
        <w:t xml:space="preserve"> and bring them to justice.</w:t>
      </w:r>
      <w:r w:rsidR="00987759" w:rsidRPr="00641418">
        <w:rPr>
          <w:color w:val="000000" w:themeColor="text1"/>
        </w:rPr>
        <w:t xml:space="preserve"> However, the Panel reiterates that the obligation to continue with the investigation in this case in accordance with the procedural requirements of Article 2 of the Convention still exist</w:t>
      </w:r>
      <w:r w:rsidR="00C87A95" w:rsidRPr="00641418">
        <w:rPr>
          <w:color w:val="000000" w:themeColor="text1"/>
        </w:rPr>
        <w:t>s</w:t>
      </w:r>
      <w:r w:rsidR="007A2B5B" w:rsidRPr="00641418">
        <w:rPr>
          <w:color w:val="000000" w:themeColor="text1"/>
        </w:rPr>
        <w:t xml:space="preserve">, although </w:t>
      </w:r>
      <w:r w:rsidR="00A565BA" w:rsidRPr="00641418">
        <w:rPr>
          <w:color w:val="000000" w:themeColor="text1"/>
        </w:rPr>
        <w:t xml:space="preserve">falling </w:t>
      </w:r>
      <w:r w:rsidR="007A2B5B" w:rsidRPr="00641418">
        <w:rPr>
          <w:color w:val="000000" w:themeColor="text1"/>
        </w:rPr>
        <w:t>outside the jurisdiction of the Panel to consider further.</w:t>
      </w:r>
    </w:p>
    <w:p w:rsidR="00BF3A1D" w:rsidRDefault="00BF3A1D" w:rsidP="00BF3A1D">
      <w:pPr>
        <w:pStyle w:val="ListParagraph"/>
        <w:tabs>
          <w:tab w:val="left" w:pos="709"/>
        </w:tabs>
        <w:autoSpaceDE w:val="0"/>
        <w:ind w:left="450"/>
        <w:jc w:val="both"/>
        <w:rPr>
          <w:color w:val="000000" w:themeColor="text1"/>
          <w:highlight w:val="yellow"/>
          <w:lang w:val="en-GB"/>
        </w:rPr>
      </w:pPr>
    </w:p>
    <w:p w:rsidR="00987759" w:rsidRPr="00641418" w:rsidRDefault="00A565BA" w:rsidP="003D4233">
      <w:pPr>
        <w:pStyle w:val="ListParagraph"/>
        <w:numPr>
          <w:ilvl w:val="0"/>
          <w:numId w:val="2"/>
        </w:numPr>
        <w:tabs>
          <w:tab w:val="clear" w:pos="360"/>
          <w:tab w:val="num" w:pos="450"/>
        </w:tabs>
        <w:autoSpaceDE w:val="0"/>
        <w:ind w:left="450" w:hanging="450"/>
        <w:jc w:val="both"/>
        <w:rPr>
          <w:color w:val="000000" w:themeColor="text1"/>
        </w:rPr>
      </w:pPr>
      <w:r w:rsidRPr="00641418">
        <w:rPr>
          <w:color w:val="000000" w:themeColor="text1"/>
          <w:lang w:val="en-GB"/>
        </w:rPr>
        <w:t>Although not within the parameters of this case, t</w:t>
      </w:r>
      <w:r w:rsidR="004F06E7" w:rsidRPr="00641418">
        <w:rPr>
          <w:color w:val="000000" w:themeColor="text1"/>
          <w:lang w:val="en-GB"/>
        </w:rPr>
        <w:t xml:space="preserve">he Panel also notes with concern the alleged fraudulent sale of Mr Živorad Krstić’s immovable property </w:t>
      </w:r>
      <w:r w:rsidR="002E6FFB"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2E6FFB" w:rsidRPr="00641418">
        <w:rPr>
          <w:color w:val="000000" w:themeColor="text1"/>
          <w:lang w:val="en-GB"/>
        </w:rPr>
        <w:t xml:space="preserve"> - </w:t>
      </w:r>
      <w:r w:rsidR="009C2A5A">
        <w:fldChar w:fldCharType="begin"/>
      </w:r>
      <w:r w:rsidR="009C2A5A">
        <w:instrText xml:space="preserve"> REF _Ref401301215 \r \h  \* MERGEFORMAT </w:instrText>
      </w:r>
      <w:r w:rsidR="009C2A5A">
        <w:fldChar w:fldCharType="separate"/>
      </w:r>
      <w:r w:rsidR="009C2A5A" w:rsidRPr="009C2A5A">
        <w:rPr>
          <w:color w:val="000000" w:themeColor="text1"/>
          <w:lang w:val="en-GB"/>
        </w:rPr>
        <w:t>112</w:t>
      </w:r>
      <w:r w:rsidR="009C2A5A">
        <w:fldChar w:fldCharType="end"/>
      </w:r>
      <w:r w:rsidR="002E6FFB" w:rsidRPr="00641418">
        <w:rPr>
          <w:color w:val="000000" w:themeColor="text1"/>
          <w:lang w:val="en-GB"/>
        </w:rPr>
        <w:t xml:space="preserve"> above) </w:t>
      </w:r>
      <w:r w:rsidR="004F06E7" w:rsidRPr="00641418">
        <w:rPr>
          <w:color w:val="000000" w:themeColor="text1"/>
          <w:lang w:val="en-GB"/>
        </w:rPr>
        <w:t xml:space="preserve">and </w:t>
      </w:r>
      <w:r w:rsidR="007A2B5B" w:rsidRPr="00641418">
        <w:rPr>
          <w:color w:val="000000" w:themeColor="text1"/>
          <w:lang w:val="en-GB"/>
        </w:rPr>
        <w:t>the</w:t>
      </w:r>
      <w:r w:rsidR="004F06E7" w:rsidRPr="00641418">
        <w:rPr>
          <w:color w:val="000000" w:themeColor="text1"/>
          <w:lang w:val="en-GB"/>
        </w:rPr>
        <w:t xml:space="preserve"> issue of </w:t>
      </w:r>
      <w:r w:rsidR="007A2B5B" w:rsidRPr="00641418">
        <w:rPr>
          <w:color w:val="000000" w:themeColor="text1"/>
          <w:lang w:val="en-GB"/>
        </w:rPr>
        <w:t xml:space="preserve">the sizeable number of such fraudulent </w:t>
      </w:r>
      <w:r w:rsidR="004F06E7" w:rsidRPr="00641418">
        <w:rPr>
          <w:color w:val="000000" w:themeColor="text1"/>
          <w:lang w:val="en-GB"/>
        </w:rPr>
        <w:t>transactions of the immovable property of the deceased and displaced persons in Kosovo after the territory came under control of UNMIK</w:t>
      </w:r>
      <w:r w:rsidR="004F06E7" w:rsidRPr="00641418">
        <w:rPr>
          <w:rStyle w:val="FootnoteReference"/>
          <w:color w:val="000000" w:themeColor="text1"/>
          <w:lang w:val="en-GB"/>
        </w:rPr>
        <w:footnoteReference w:id="22"/>
      </w:r>
      <w:r w:rsidR="004F06E7" w:rsidRPr="00641418">
        <w:rPr>
          <w:color w:val="000000" w:themeColor="text1"/>
          <w:lang w:val="en-GB"/>
        </w:rPr>
        <w:t>.</w:t>
      </w:r>
    </w:p>
    <w:p w:rsidR="007A2B5B" w:rsidRPr="00641418" w:rsidRDefault="007A2B5B" w:rsidP="007A2B5B">
      <w:pPr>
        <w:pStyle w:val="ListParagraph"/>
        <w:rPr>
          <w:color w:val="000000" w:themeColor="text1"/>
        </w:rPr>
      </w:pPr>
    </w:p>
    <w:p w:rsidR="00396222" w:rsidRPr="00641418" w:rsidRDefault="00396222" w:rsidP="003D4233">
      <w:pPr>
        <w:pStyle w:val="ListParagraph"/>
        <w:numPr>
          <w:ilvl w:val="0"/>
          <w:numId w:val="2"/>
        </w:numPr>
        <w:tabs>
          <w:tab w:val="clear" w:pos="360"/>
          <w:tab w:val="num" w:pos="450"/>
        </w:tabs>
        <w:autoSpaceDE w:val="0"/>
        <w:ind w:left="450" w:hanging="450"/>
        <w:jc w:val="both"/>
        <w:rPr>
          <w:b/>
          <w:color w:val="000000" w:themeColor="text1"/>
          <w:lang w:val="en-GB" w:eastAsia="en-US"/>
        </w:rPr>
      </w:pPr>
      <w:r w:rsidRPr="00641418">
        <w:rPr>
          <w:color w:val="000000" w:themeColor="text1"/>
        </w:rPr>
        <w:t xml:space="preserve">Having considered all aspects of this case, the Panel concludes that, </w:t>
      </w:r>
      <w:r w:rsidR="00A565BA" w:rsidRPr="00641418">
        <w:rPr>
          <w:color w:val="000000" w:themeColor="text1"/>
        </w:rPr>
        <w:t xml:space="preserve">in so </w:t>
      </w:r>
      <w:r w:rsidR="00987759" w:rsidRPr="00641418">
        <w:rPr>
          <w:color w:val="000000" w:themeColor="text1"/>
        </w:rPr>
        <w:t xml:space="preserve">far as this investigation is attributable to the UNMIK authorities, </w:t>
      </w:r>
      <w:r w:rsidRPr="00641418">
        <w:rPr>
          <w:color w:val="000000" w:themeColor="text1"/>
        </w:rPr>
        <w:t>there has been no violation of Article 2, procedural limb, of the ECHR</w:t>
      </w:r>
      <w:r w:rsidR="00A565BA" w:rsidRPr="00641418">
        <w:rPr>
          <w:color w:val="000000" w:themeColor="text1"/>
        </w:rPr>
        <w:t>.</w:t>
      </w:r>
    </w:p>
    <w:p w:rsidR="00396222" w:rsidRPr="00641418" w:rsidRDefault="00396222" w:rsidP="00396222">
      <w:pPr>
        <w:pStyle w:val="ListParagraph"/>
        <w:rPr>
          <w:color w:val="E36C0A" w:themeColor="accent6" w:themeShade="BF"/>
        </w:rPr>
      </w:pPr>
    </w:p>
    <w:bookmarkEnd w:id="74"/>
    <w:p w:rsidR="00CC3B3D" w:rsidRPr="00641418" w:rsidRDefault="00CC3B3D" w:rsidP="003D4233">
      <w:pPr>
        <w:pStyle w:val="ListParagraph"/>
        <w:numPr>
          <w:ilvl w:val="0"/>
          <w:numId w:val="4"/>
        </w:numPr>
        <w:jc w:val="both"/>
        <w:rPr>
          <w:b/>
          <w:lang w:val="en-GB"/>
        </w:rPr>
      </w:pPr>
      <w:r w:rsidRPr="00641418">
        <w:rPr>
          <w:b/>
          <w:lang w:val="en-GB"/>
        </w:rPr>
        <w:t>Alleged violation of Article 3 of the ECHR</w:t>
      </w:r>
    </w:p>
    <w:p w:rsidR="00CC3B3D" w:rsidRPr="00641418" w:rsidRDefault="00CC3B3D" w:rsidP="00CC3B3D">
      <w:pPr>
        <w:autoSpaceDE w:val="0"/>
        <w:jc w:val="both"/>
        <w:rPr>
          <w:b/>
          <w:bCs/>
          <w:lang w:val="en-GB"/>
        </w:rPr>
      </w:pPr>
    </w:p>
    <w:p w:rsidR="00CC3B3D" w:rsidRPr="00641418" w:rsidRDefault="007A2B5B" w:rsidP="003D4233">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rPr>
        <w:t>The complainant</w:t>
      </w:r>
      <w:r w:rsidR="003744F7" w:rsidRPr="00641418">
        <w:rPr>
          <w:color w:val="000000" w:themeColor="text1"/>
        </w:rPr>
        <w:t>s</w:t>
      </w:r>
      <w:r w:rsidRPr="00641418">
        <w:rPr>
          <w:color w:val="000000" w:themeColor="text1"/>
        </w:rPr>
        <w:t xml:space="preserve"> state that the lack of information and uncertainty surrounding the </w:t>
      </w:r>
      <w:r w:rsidR="003D4233" w:rsidRPr="00641418">
        <w:rPr>
          <w:color w:val="000000" w:themeColor="text1"/>
          <w:lang w:val="en-GB"/>
        </w:rPr>
        <w:t xml:space="preserve">abduction and </w:t>
      </w:r>
      <w:r w:rsidR="003D4233" w:rsidRPr="00641418">
        <w:rPr>
          <w:bCs/>
          <w:color w:val="000000" w:themeColor="text1"/>
          <w:lang w:val="en-GB"/>
        </w:rPr>
        <w:t xml:space="preserve">disappearance of </w:t>
      </w:r>
      <w:r w:rsidR="003D4233" w:rsidRPr="00641418">
        <w:rPr>
          <w:bCs/>
          <w:color w:val="000000" w:themeColor="text1"/>
        </w:rPr>
        <w:t xml:space="preserve">Mr Slobodan Mitrović, Mr Milovan Krstić, </w:t>
      </w:r>
      <w:proofErr w:type="gramStart"/>
      <w:r w:rsidR="003D4233" w:rsidRPr="00641418">
        <w:rPr>
          <w:bCs/>
          <w:color w:val="000000" w:themeColor="text1"/>
        </w:rPr>
        <w:t>Mr</w:t>
      </w:r>
      <w:proofErr w:type="gramEnd"/>
      <w:r w:rsidR="003D4233" w:rsidRPr="00641418">
        <w:rPr>
          <w:bCs/>
          <w:color w:val="000000" w:themeColor="text1"/>
        </w:rPr>
        <w:t xml:space="preserve"> Miodrag Krsti</w:t>
      </w:r>
      <w:r w:rsidR="003D4233" w:rsidRPr="00641418">
        <w:rPr>
          <w:bCs/>
          <w:color w:val="000000" w:themeColor="text1"/>
          <w:lang w:val="sr-Latn-CS"/>
        </w:rPr>
        <w:t xml:space="preserve">ć, </w:t>
      </w:r>
      <w:r w:rsidR="003D4233" w:rsidRPr="00641418">
        <w:rPr>
          <w:bCs/>
          <w:color w:val="000000" w:themeColor="text1"/>
        </w:rPr>
        <w:t>Mr Živorad Krstić and Mr Miroslav Šuljinić</w:t>
      </w:r>
      <w:r w:rsidR="003D4233" w:rsidRPr="00641418">
        <w:rPr>
          <w:color w:val="000000" w:themeColor="text1"/>
          <w:lang w:eastAsia="en-US"/>
        </w:rPr>
        <w:t xml:space="preserve"> </w:t>
      </w:r>
      <w:r w:rsidRPr="00641418">
        <w:rPr>
          <w:color w:val="000000" w:themeColor="text1"/>
        </w:rPr>
        <w:t xml:space="preserve">caused mental suffering to </w:t>
      </w:r>
      <w:r w:rsidR="003744F7" w:rsidRPr="00641418">
        <w:rPr>
          <w:color w:val="000000" w:themeColor="text1"/>
        </w:rPr>
        <w:t xml:space="preserve">themselves </w:t>
      </w:r>
      <w:r w:rsidRPr="00641418">
        <w:rPr>
          <w:color w:val="000000" w:themeColor="text1"/>
        </w:rPr>
        <w:t xml:space="preserve">and </w:t>
      </w:r>
      <w:r w:rsidR="003744F7" w:rsidRPr="00641418">
        <w:rPr>
          <w:color w:val="000000" w:themeColor="text1"/>
        </w:rPr>
        <w:t>their</w:t>
      </w:r>
      <w:r w:rsidRPr="00641418">
        <w:rPr>
          <w:color w:val="000000" w:themeColor="text1"/>
        </w:rPr>
        <w:t xml:space="preserve"> famil</w:t>
      </w:r>
      <w:r w:rsidR="003D4233" w:rsidRPr="00641418">
        <w:rPr>
          <w:color w:val="000000" w:themeColor="text1"/>
        </w:rPr>
        <w:t>ies</w:t>
      </w:r>
      <w:r w:rsidRPr="00641418">
        <w:rPr>
          <w:color w:val="000000" w:themeColor="text1"/>
        </w:rPr>
        <w:t xml:space="preserve">. </w:t>
      </w:r>
      <w:r w:rsidR="003D4233" w:rsidRPr="00641418">
        <w:rPr>
          <w:color w:val="000000" w:themeColor="text1"/>
        </w:rPr>
        <w:t>The Panel considers in this respect that th</w:t>
      </w:r>
      <w:r w:rsidRPr="00641418">
        <w:rPr>
          <w:color w:val="000000" w:themeColor="text1"/>
        </w:rPr>
        <w:t>e complainant</w:t>
      </w:r>
      <w:r w:rsidR="003D4233" w:rsidRPr="00641418">
        <w:rPr>
          <w:color w:val="000000" w:themeColor="text1"/>
        </w:rPr>
        <w:t>s</w:t>
      </w:r>
      <w:r w:rsidRPr="00641418">
        <w:rPr>
          <w:color w:val="000000" w:themeColor="text1"/>
        </w:rPr>
        <w:t xml:space="preserve"> invoke Article 3 of the ECHR prohibiting inhuman and degrading treatment.</w:t>
      </w:r>
    </w:p>
    <w:p w:rsidR="000C7114" w:rsidRPr="00641418" w:rsidRDefault="000C7114" w:rsidP="000C7114">
      <w:pPr>
        <w:pStyle w:val="ListParagraph"/>
        <w:widowControl w:val="0"/>
        <w:tabs>
          <w:tab w:val="left" w:pos="1080"/>
        </w:tabs>
        <w:autoSpaceDE w:val="0"/>
        <w:ind w:left="360"/>
        <w:jc w:val="bot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 xml:space="preserve">The scope of the Panel’s review </w:t>
      </w:r>
    </w:p>
    <w:p w:rsidR="000C7114" w:rsidRPr="00641418" w:rsidRDefault="000C7114" w:rsidP="000C7114">
      <w:pPr>
        <w:widowControl w:val="0"/>
        <w:tabs>
          <w:tab w:val="left" w:pos="1080"/>
        </w:tabs>
        <w:autoSpaceDE w:val="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641418">
        <w:rPr>
          <w:color w:val="000000" w:themeColor="text1"/>
          <w:lang w:val="en-GB"/>
        </w:rPr>
        <w:t xml:space="preserve">The Panel will consider </w:t>
      </w:r>
      <w:r w:rsidRPr="00641418">
        <w:rPr>
          <w:bCs/>
          <w:color w:val="000000" w:themeColor="text1"/>
        </w:rPr>
        <w:t>the</w:t>
      </w:r>
      <w:r w:rsidRPr="00641418">
        <w:rPr>
          <w:color w:val="000000" w:themeColor="text1"/>
          <w:lang w:val="en-GB"/>
        </w:rPr>
        <w:t xml:space="preserve"> allegations under Article 3 of the ECHR, applying the same scope of review as was set out with regard to Article 2 (see §§ </w:t>
      </w:r>
      <w:r w:rsidR="009C2A5A">
        <w:fldChar w:fldCharType="begin"/>
      </w:r>
      <w:r w:rsidR="009C2A5A">
        <w:instrText xml:space="preserve"> REF _Ref401303498 \r \h  \* MERGEFORMAT </w:instrText>
      </w:r>
      <w:r w:rsidR="009C2A5A">
        <w:fldChar w:fldCharType="separate"/>
      </w:r>
      <w:r w:rsidR="009C2A5A" w:rsidRPr="009C2A5A">
        <w:rPr>
          <w:color w:val="000000" w:themeColor="text1"/>
          <w:lang w:val="en-GB"/>
        </w:rPr>
        <w:t>137</w:t>
      </w:r>
      <w:r w:rsidR="009C2A5A">
        <w:fldChar w:fldCharType="end"/>
      </w:r>
      <w:r w:rsidR="006330DE"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 </w:t>
      </w:r>
      <w:bookmarkStart w:id="75" w:name="_Ref374623030"/>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6" w:name="_Ref398736139"/>
      <w:r w:rsidRPr="00641418">
        <w:rPr>
          <w:color w:val="000000" w:themeColor="text1"/>
          <w:lang w:val="en-GB"/>
        </w:rPr>
        <w:t xml:space="preserve">The Panel recalls that the European Court of Human Rights has found on many occasions that a situation of </w:t>
      </w:r>
      <w:r w:rsidRPr="00641418">
        <w:rPr>
          <w:bCs/>
          <w:color w:val="000000" w:themeColor="text1"/>
        </w:rPr>
        <w:t>enforced</w:t>
      </w:r>
      <w:r w:rsidRPr="00641418">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41418">
        <w:rPr>
          <w:i/>
          <w:color w:val="000000" w:themeColor="text1"/>
          <w:lang w:val="en-GB"/>
        </w:rPr>
        <w:t>Çakici v. Turkey</w:t>
      </w:r>
      <w:r w:rsidRPr="00641418">
        <w:rPr>
          <w:color w:val="000000" w:themeColor="text1"/>
          <w:lang w:val="en-GB"/>
        </w:rPr>
        <w:t xml:space="preserve">, no. 23657/94, judgment of 8 July 1999, § 98, </w:t>
      </w:r>
      <w:r w:rsidRPr="00641418">
        <w:rPr>
          <w:i/>
          <w:color w:val="000000" w:themeColor="text1"/>
          <w:lang w:val="en-GB"/>
        </w:rPr>
        <w:t>ECHR</w:t>
      </w:r>
      <w:r w:rsidRPr="00641418">
        <w:rPr>
          <w:color w:val="000000" w:themeColor="text1"/>
          <w:lang w:val="en-GB"/>
        </w:rPr>
        <w:t xml:space="preserve">, 1999-IV; ECtHR [GC], </w:t>
      </w:r>
      <w:r w:rsidRPr="00641418">
        <w:rPr>
          <w:i/>
          <w:color w:val="000000" w:themeColor="text1"/>
          <w:lang w:val="en-GB"/>
        </w:rPr>
        <w:t>Cyprus v. Turkey</w:t>
      </w:r>
      <w:r w:rsidRPr="00641418">
        <w:rPr>
          <w:color w:val="000000" w:themeColor="text1"/>
          <w:lang w:val="en-GB"/>
        </w:rPr>
        <w:t>, no. 25781/94, judgment of 10 May 2001, § 156,</w:t>
      </w:r>
      <w:r w:rsidRPr="00641418">
        <w:rPr>
          <w:i/>
          <w:color w:val="000000" w:themeColor="text1"/>
          <w:lang w:val="en-GB"/>
        </w:rPr>
        <w:t xml:space="preserve"> ECHR</w:t>
      </w:r>
      <w:r w:rsidRPr="00641418">
        <w:rPr>
          <w:color w:val="000000" w:themeColor="text1"/>
          <w:lang w:val="en-GB"/>
        </w:rPr>
        <w:t xml:space="preserve">, 2001-IV; ECtHR, </w:t>
      </w:r>
      <w:r w:rsidRPr="00641418">
        <w:rPr>
          <w:i/>
          <w:color w:val="000000" w:themeColor="text1"/>
          <w:lang w:val="en-GB"/>
        </w:rPr>
        <w:t>Orhan v. Turkey</w:t>
      </w:r>
      <w:r w:rsidRPr="00641418">
        <w:rPr>
          <w:color w:val="000000" w:themeColor="text1"/>
          <w:lang w:val="en-GB"/>
        </w:rPr>
        <w:t xml:space="preserve">, no. 25656/94, judgment of 18 June 2002, § 358; ECtHR, </w:t>
      </w:r>
      <w:r w:rsidRPr="00641418">
        <w:rPr>
          <w:i/>
          <w:color w:val="000000" w:themeColor="text1"/>
          <w:lang w:val="en-GB"/>
        </w:rPr>
        <w:t>Bazorkina v. Russia</w:t>
      </w:r>
      <w:r w:rsidRPr="00641418">
        <w:rPr>
          <w:color w:val="000000" w:themeColor="text1"/>
          <w:lang w:val="en-GB"/>
        </w:rPr>
        <w:t xml:space="preserve">, cited in § </w:t>
      </w:r>
      <w:r w:rsidR="009C2A5A">
        <w:fldChar w:fldCharType="begin"/>
      </w:r>
      <w:r w:rsidR="009C2A5A">
        <w:instrText xml:space="preserve"> REF _Ref401251707 \r \h  \* MERGEFORMAT </w:instrText>
      </w:r>
      <w:r w:rsidR="009C2A5A">
        <w:fldChar w:fldCharType="separate"/>
      </w:r>
      <w:r w:rsidR="009C2A5A" w:rsidRPr="009C2A5A">
        <w:rPr>
          <w:color w:val="000000" w:themeColor="text1"/>
          <w:lang w:val="en-GB"/>
        </w:rPr>
        <w:t>185</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139; ECtHR, </w:t>
      </w:r>
      <w:r w:rsidRPr="00641418">
        <w:rPr>
          <w:i/>
          <w:color w:val="000000" w:themeColor="text1"/>
          <w:lang w:val="en-GB"/>
        </w:rPr>
        <w:t>Palić v. Bosnia and Herzegovina,</w:t>
      </w:r>
      <w:r w:rsidRPr="00641418">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74; ECtHR, </w:t>
      </w:r>
      <w:r w:rsidRPr="00641418">
        <w:rPr>
          <w:i/>
          <w:color w:val="000000" w:themeColor="text1"/>
          <w:lang w:val="en-GB"/>
        </w:rPr>
        <w:t>Alpatu Israilova v. Russia</w:t>
      </w:r>
      <w:r w:rsidRPr="00641418">
        <w:rPr>
          <w:color w:val="000000" w:themeColor="text1"/>
          <w:lang w:val="en-GB"/>
        </w:rPr>
        <w:t xml:space="preserve">, no. 15438/05, judgment of 14 March 2013, § 69; see also HRAP, </w:t>
      </w:r>
      <w:r w:rsidRPr="00641418">
        <w:rPr>
          <w:i/>
          <w:color w:val="000000" w:themeColor="text1"/>
          <w:lang w:val="en-GB"/>
        </w:rPr>
        <w:t>Zdravković</w:t>
      </w:r>
      <w:r w:rsidRPr="00641418">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41418">
        <w:rPr>
          <w:i/>
          <w:color w:val="000000" w:themeColor="text1"/>
          <w:lang w:val="en-GB"/>
        </w:rPr>
        <w:t>Er and Others v. Turkey</w:t>
      </w:r>
      <w:r w:rsidRPr="00641418">
        <w:rPr>
          <w:color w:val="000000" w:themeColor="text1"/>
          <w:lang w:val="en-GB"/>
        </w:rPr>
        <w:t>, no. 23016/04, judgment of 31 July 2012, § 94).</w:t>
      </w:r>
      <w:bookmarkStart w:id="77" w:name="_Ref374623316"/>
      <w:bookmarkEnd w:id="75"/>
      <w:bookmarkEnd w:id="76"/>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8" w:name="_Ref398736209"/>
      <w:r w:rsidRPr="00641418">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641418">
        <w:rPr>
          <w:i/>
          <w:color w:val="000000" w:themeColor="text1"/>
          <w:lang w:val="en-GB"/>
        </w:rPr>
        <w:t>Gelayevy v. Russia</w:t>
      </w:r>
      <w:r w:rsidRPr="00641418">
        <w:rPr>
          <w:color w:val="000000" w:themeColor="text1"/>
          <w:lang w:val="en-GB"/>
        </w:rPr>
        <w:t>, no. 20216/07, judgment of 15 July 2010, §§ 147-148).</w:t>
      </w:r>
      <w:bookmarkEnd w:id="77"/>
      <w:bookmarkEnd w:id="78"/>
    </w:p>
    <w:p w:rsidR="000C7114" w:rsidRPr="00641418" w:rsidRDefault="000C7114" w:rsidP="000C7114">
      <w:pPr>
        <w:pStyle w:val="ListParagrap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The Panel’s assessment</w:t>
      </w:r>
    </w:p>
    <w:p w:rsidR="000C7114" w:rsidRPr="00641418" w:rsidRDefault="000C7114" w:rsidP="000C7114">
      <w:pPr>
        <w:pStyle w:val="ListParagraph"/>
        <w:tabs>
          <w:tab w:val="num" w:pos="450"/>
        </w:tabs>
        <w:ind w:left="450" w:hanging="450"/>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The Panel recalls th</w:t>
      </w:r>
      <w:r w:rsidR="0023601C" w:rsidRPr="00641418">
        <w:rPr>
          <w:color w:val="000000" w:themeColor="text1"/>
          <w:lang w:val="en-GB"/>
        </w:rPr>
        <w:t>at it was established above that</w:t>
      </w:r>
      <w:r w:rsidRPr="00641418">
        <w:rPr>
          <w:color w:val="000000" w:themeColor="text1"/>
          <w:lang w:val="en-GB"/>
        </w:rPr>
        <w:t xml:space="preserve"> </w:t>
      </w:r>
      <w:r w:rsidR="0023601C" w:rsidRPr="00641418">
        <w:rPr>
          <w:color w:val="000000" w:themeColor="text1"/>
          <w:lang w:val="en-GB"/>
        </w:rPr>
        <w:t xml:space="preserve">there was no </w:t>
      </w:r>
      <w:r w:rsidRPr="00641418">
        <w:rPr>
          <w:color w:val="000000" w:themeColor="text1"/>
          <w:lang w:val="en-GB"/>
        </w:rPr>
        <w:t xml:space="preserve">failure </w:t>
      </w:r>
      <w:r w:rsidR="0023601C" w:rsidRPr="00641418">
        <w:rPr>
          <w:color w:val="000000" w:themeColor="text1"/>
          <w:lang w:val="en-GB"/>
        </w:rPr>
        <w:t xml:space="preserve">in </w:t>
      </w:r>
      <w:r w:rsidRPr="00641418">
        <w:rPr>
          <w:color w:val="000000" w:themeColor="text1"/>
          <w:lang w:val="en-GB"/>
        </w:rPr>
        <w:t xml:space="preserve">relation to the procedural obligation under Article 2 </w:t>
      </w:r>
      <w:r w:rsidR="0023601C" w:rsidRPr="00641418">
        <w:rPr>
          <w:color w:val="000000" w:themeColor="text1"/>
          <w:lang w:val="en-GB"/>
        </w:rPr>
        <w:t xml:space="preserve">of the ECHR on the part of </w:t>
      </w:r>
      <w:r w:rsidRPr="00641418">
        <w:rPr>
          <w:color w:val="000000" w:themeColor="text1"/>
          <w:lang w:val="en-GB"/>
        </w:rPr>
        <w:t>UNMIK.</w:t>
      </w:r>
    </w:p>
    <w:p w:rsidR="0023601C" w:rsidRPr="00641418" w:rsidRDefault="0023601C" w:rsidP="0023601C">
      <w:pPr>
        <w:pStyle w:val="ListParagraph"/>
        <w:widowControl w:val="0"/>
        <w:tabs>
          <w:tab w:val="num" w:pos="450"/>
          <w:tab w:val="left" w:pos="720"/>
        </w:tabs>
        <w:autoSpaceDE w:val="0"/>
        <w:ind w:left="450"/>
        <w:jc w:val="both"/>
        <w:rPr>
          <w:color w:val="000000" w:themeColor="text1"/>
          <w:lang w:val="en-GB"/>
        </w:rPr>
      </w:pPr>
    </w:p>
    <w:p w:rsidR="0023601C"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 xml:space="preserve">The Panel </w:t>
      </w:r>
      <w:r w:rsidR="0023601C" w:rsidRPr="00641418">
        <w:rPr>
          <w:color w:val="000000" w:themeColor="text1"/>
          <w:lang w:val="en-GB"/>
        </w:rPr>
        <w:t>further considers that</w:t>
      </w:r>
      <w:r w:rsidRPr="00641418">
        <w:rPr>
          <w:color w:val="000000" w:themeColor="text1"/>
          <w:lang w:val="en-GB"/>
        </w:rPr>
        <w:t xml:space="preserve">, according to the </w:t>
      </w:r>
      <w:r w:rsidR="0023601C" w:rsidRPr="00641418">
        <w:rPr>
          <w:color w:val="000000" w:themeColor="text1"/>
          <w:lang w:val="en-GB"/>
        </w:rPr>
        <w:t xml:space="preserve">findings above, during the period under </w:t>
      </w:r>
      <w:r w:rsidR="0023601C" w:rsidRPr="00641418">
        <w:rPr>
          <w:color w:val="000000" w:themeColor="text1"/>
          <w:lang w:val="en-GB"/>
        </w:rPr>
        <w:lastRenderedPageBreak/>
        <w:t xml:space="preserve">the Panel’s jurisdiction, </w:t>
      </w:r>
      <w:r w:rsidRPr="00641418">
        <w:rPr>
          <w:color w:val="000000" w:themeColor="text1"/>
          <w:lang w:val="en-GB"/>
        </w:rPr>
        <w:t>UNMIK</w:t>
      </w:r>
      <w:r w:rsidR="0023601C" w:rsidRPr="00641418">
        <w:rPr>
          <w:color w:val="000000" w:themeColor="text1"/>
          <w:lang w:val="en-GB"/>
        </w:rPr>
        <w:t xml:space="preserve">’s responsibility with respect to all aspects of the procedural obligation under Article 2 of the ECHR was made subject to the primacy of the jurisdiction of the ICTY. The Panel therefore considers that the same is true with respect of the substantive obligation </w:t>
      </w:r>
      <w:r w:rsidR="002713B8" w:rsidRPr="00641418">
        <w:rPr>
          <w:color w:val="000000" w:themeColor="text1"/>
          <w:lang w:val="en-GB"/>
        </w:rPr>
        <w:t>under Article 3 of the ECHR.</w:t>
      </w:r>
    </w:p>
    <w:p w:rsidR="002713B8" w:rsidRPr="00641418" w:rsidRDefault="002713B8" w:rsidP="002713B8">
      <w:pPr>
        <w:pStyle w:val="ListParagraph"/>
        <w:rPr>
          <w:color w:val="000000" w:themeColor="text1"/>
          <w:lang w:val="en-GB"/>
        </w:rPr>
      </w:pPr>
    </w:p>
    <w:p w:rsidR="003D4233" w:rsidRPr="00641418" w:rsidRDefault="002713B8" w:rsidP="002713B8">
      <w:pPr>
        <w:pStyle w:val="ListParagraph"/>
        <w:numPr>
          <w:ilvl w:val="0"/>
          <w:numId w:val="2"/>
        </w:numPr>
        <w:tabs>
          <w:tab w:val="clear" w:pos="360"/>
          <w:tab w:val="num" w:pos="450"/>
        </w:tabs>
        <w:autoSpaceDE w:val="0"/>
        <w:ind w:left="450" w:hanging="450"/>
        <w:jc w:val="both"/>
        <w:rPr>
          <w:lang w:val="en-GB"/>
        </w:rPr>
      </w:pPr>
      <w:r w:rsidRPr="00641418">
        <w:rPr>
          <w:color w:val="000000" w:themeColor="text1"/>
        </w:rPr>
        <w:t>The Panel has no doubts as to the profound suffering caused by this situation to the complainants, who continue to live in an uncertainty about the fate of their close relatives. Nevertheless, given</w:t>
      </w:r>
      <w:r w:rsidRPr="00641418">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w:t>
      </w:r>
      <w:r w:rsidR="00C3752B" w:rsidRPr="00641418">
        <w:rPr>
          <w:color w:val="000000" w:themeColor="text1"/>
          <w:lang w:val="en-GB"/>
        </w:rPr>
        <w:t xml:space="preserve"> ECHR on the part of UNMIK.</w:t>
      </w:r>
    </w:p>
    <w:p w:rsidR="000C7114" w:rsidRPr="00641418" w:rsidRDefault="000C7114" w:rsidP="000C7114">
      <w:pPr>
        <w:pStyle w:val="ListParagraph"/>
      </w:pPr>
    </w:p>
    <w:p w:rsidR="00CC3B3D" w:rsidRDefault="00CC3B3D" w:rsidP="00CC3B3D">
      <w:pPr>
        <w:pStyle w:val="Default"/>
        <w:jc w:val="both"/>
        <w:rPr>
          <w:lang w:val="en-GB"/>
        </w:rPr>
      </w:pPr>
    </w:p>
    <w:p w:rsidR="00F0555D" w:rsidRDefault="00F0555D" w:rsidP="00CC3B3D">
      <w:pPr>
        <w:pStyle w:val="Default"/>
        <w:jc w:val="both"/>
        <w:rPr>
          <w:lang w:val="en-GB"/>
        </w:rPr>
      </w:pPr>
    </w:p>
    <w:p w:rsidR="00BF3A1D" w:rsidRPr="00641418" w:rsidRDefault="00BF3A1D" w:rsidP="00CC3B3D">
      <w:pPr>
        <w:pStyle w:val="Default"/>
        <w:jc w:val="both"/>
        <w:rPr>
          <w:lang w:val="en-GB"/>
        </w:rPr>
      </w:pPr>
    </w:p>
    <w:p w:rsidR="00CC3B3D" w:rsidRPr="00641418" w:rsidRDefault="00CC3B3D" w:rsidP="00CC3B3D">
      <w:pPr>
        <w:rPr>
          <w:b/>
        </w:rPr>
      </w:pPr>
      <w:r w:rsidRPr="00641418">
        <w:rPr>
          <w:b/>
        </w:rPr>
        <w:t xml:space="preserve">FOR THESE REASONS, </w:t>
      </w:r>
    </w:p>
    <w:p w:rsidR="00CC3B3D" w:rsidRPr="00641418" w:rsidRDefault="00CC3B3D" w:rsidP="00CC3B3D"/>
    <w:p w:rsidR="00CC3B3D" w:rsidRPr="00641418" w:rsidRDefault="00CC3B3D" w:rsidP="00CC3B3D">
      <w:r w:rsidRPr="00641418">
        <w:t xml:space="preserve">The Panel, unanimously, </w:t>
      </w:r>
    </w:p>
    <w:p w:rsidR="00CC3B3D" w:rsidRDefault="00CC3B3D" w:rsidP="00CC3B3D"/>
    <w:p w:rsidR="00CC3B3D" w:rsidRPr="00641418" w:rsidRDefault="00CC3B3D" w:rsidP="00CC3B3D">
      <w:pPr>
        <w:pStyle w:val="ListParagraph"/>
        <w:rPr>
          <w:b/>
        </w:rPr>
      </w:pPr>
    </w:p>
    <w:p w:rsidR="00CC3B3D" w:rsidRPr="00A56E68" w:rsidRDefault="00CC3B3D" w:rsidP="003D4233">
      <w:pPr>
        <w:pStyle w:val="ListParagraph"/>
        <w:numPr>
          <w:ilvl w:val="0"/>
          <w:numId w:val="8"/>
        </w:numPr>
        <w:suppressAutoHyphens w:val="0"/>
        <w:contextualSpacing/>
        <w:jc w:val="both"/>
        <w:rPr>
          <w:b/>
        </w:rPr>
      </w:pPr>
      <w:r w:rsidRPr="00641418">
        <w:rPr>
          <w:b/>
        </w:rPr>
        <w:t>FINDS THAT THERE HAS BEEN NO VIOLATION OF THE PROCEDURAL OBLIGATION UNDER ARTICLE 2 OF THE EU</w:t>
      </w:r>
      <w:r w:rsidRPr="00A56E68">
        <w:rPr>
          <w:b/>
        </w:rPr>
        <w:t>ROPEAN CONVENTION ON HUMAN RIGHTS;</w:t>
      </w:r>
    </w:p>
    <w:p w:rsidR="00CC3B3D" w:rsidRPr="00F44800" w:rsidRDefault="00CC3B3D" w:rsidP="00CC3B3D">
      <w:pPr>
        <w:pStyle w:val="ListParagraph"/>
        <w:rPr>
          <w:b/>
          <w:highlight w:val="yellow"/>
        </w:rPr>
      </w:pPr>
    </w:p>
    <w:p w:rsidR="00CC3B3D" w:rsidRPr="00C20FEA" w:rsidRDefault="000C7114" w:rsidP="00CC3B3D">
      <w:pPr>
        <w:pStyle w:val="JuList"/>
        <w:numPr>
          <w:ilvl w:val="0"/>
          <w:numId w:val="8"/>
        </w:numPr>
        <w:tabs>
          <w:tab w:val="left" w:pos="357"/>
        </w:tabs>
        <w:autoSpaceDE w:val="0"/>
        <w:autoSpaceDN w:val="0"/>
        <w:adjustRightInd w:val="0"/>
        <w:rPr>
          <w:b/>
          <w:bCs/>
        </w:rPr>
      </w:pPr>
      <w:r w:rsidRPr="00C20FEA">
        <w:rPr>
          <w:b/>
        </w:rPr>
        <w:t>FINDS THAT THERE HAS BEEN NO VIOLATION OF THE SUBSTANTIVE OBLIGATION UNDER ARTICLE 3 OF THE EUROPEAN CONVENTION ON HUMAN RIGHTS.</w:t>
      </w:r>
    </w:p>
    <w:p w:rsidR="00CC3B3D" w:rsidRDefault="00CC3B3D" w:rsidP="00CC3B3D">
      <w:pPr>
        <w:autoSpaceDE w:val="0"/>
        <w:autoSpaceDN w:val="0"/>
        <w:adjustRightInd w:val="0"/>
        <w:jc w:val="both"/>
        <w:rPr>
          <w:lang w:val="en-GB"/>
        </w:rPr>
      </w:pPr>
    </w:p>
    <w:p w:rsidR="00B16449" w:rsidRDefault="00B16449" w:rsidP="00CC3B3D">
      <w:pPr>
        <w:autoSpaceDE w:val="0"/>
        <w:autoSpaceDN w:val="0"/>
        <w:adjustRightInd w:val="0"/>
        <w:jc w:val="both"/>
        <w:rPr>
          <w:lang w:val="en-GB"/>
        </w:rPr>
      </w:pPr>
    </w:p>
    <w:p w:rsidR="00C20FEA" w:rsidRDefault="00C20FEA" w:rsidP="00CC3B3D">
      <w:pPr>
        <w:autoSpaceDE w:val="0"/>
        <w:autoSpaceDN w:val="0"/>
        <w:adjustRightInd w:val="0"/>
        <w:jc w:val="both"/>
        <w:rPr>
          <w:lang w:val="en-GB"/>
        </w:rPr>
      </w:pPr>
    </w:p>
    <w:p w:rsidR="00641D5D" w:rsidRDefault="00641D5D" w:rsidP="00CC3B3D">
      <w:pPr>
        <w:autoSpaceDE w:val="0"/>
        <w:autoSpaceDN w:val="0"/>
        <w:adjustRightInd w:val="0"/>
        <w:jc w:val="both"/>
        <w:rPr>
          <w:lang w:val="en-GB"/>
        </w:rPr>
      </w:pPr>
    </w:p>
    <w:p w:rsidR="00C20FEA" w:rsidRPr="007F4884" w:rsidRDefault="00C20FEA" w:rsidP="00CC3B3D">
      <w:pPr>
        <w:autoSpaceDE w:val="0"/>
        <w:autoSpaceDN w:val="0"/>
        <w:adjustRightInd w:val="0"/>
        <w:jc w:val="both"/>
        <w:rPr>
          <w:lang w:val="en-GB"/>
        </w:rPr>
      </w:pPr>
    </w:p>
    <w:p w:rsidR="00CC3B3D" w:rsidRPr="007F4884" w:rsidRDefault="00CC3B3D" w:rsidP="00CC3B3D">
      <w:pPr>
        <w:autoSpaceDE w:val="0"/>
        <w:autoSpaceDN w:val="0"/>
        <w:adjustRightInd w:val="0"/>
        <w:jc w:val="both"/>
        <w:rPr>
          <w:lang w:val="en-GB"/>
        </w:rPr>
      </w:pPr>
      <w:r>
        <w:rPr>
          <w:lang w:val="en-GB"/>
        </w:rPr>
        <w:t xml:space="preserve"> </w:t>
      </w:r>
      <w:r w:rsidRPr="007F4884">
        <w:rPr>
          <w:lang w:val="en-GB"/>
        </w:rPr>
        <w:t xml:space="preserve">Andrey </w:t>
      </w:r>
      <w:r>
        <w:rPr>
          <w:lang w:val="en-GB"/>
        </w:rPr>
        <w:t>A</w:t>
      </w:r>
      <w:r w:rsidRPr="007F4884">
        <w:rPr>
          <w:lang w:val="en-GB"/>
        </w:rPr>
        <w:t>ntonov</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Pr>
          <w:lang w:val="en-GB"/>
        </w:rPr>
        <w:tab/>
      </w:r>
      <w:r w:rsidR="00BF3A1D">
        <w:rPr>
          <w:lang w:val="en-GB"/>
        </w:rPr>
        <w:t xml:space="preserve"> </w:t>
      </w:r>
      <w:r w:rsidRPr="007F4884">
        <w:rPr>
          <w:lang w:val="en-GB"/>
        </w:rPr>
        <w:t xml:space="preserve">Marek </w:t>
      </w:r>
      <w:r>
        <w:rPr>
          <w:lang w:val="en-GB"/>
        </w:rPr>
        <w:t>N</w:t>
      </w:r>
      <w:r w:rsidRPr="007F4884">
        <w:rPr>
          <w:lang w:val="en-GB"/>
        </w:rPr>
        <w:t>owicki</w:t>
      </w:r>
    </w:p>
    <w:p w:rsidR="00CC3B3D" w:rsidRDefault="00CC3B3D" w:rsidP="00C20FEA">
      <w:pPr>
        <w:autoSpaceDE w:val="0"/>
        <w:autoSpaceDN w:val="0"/>
        <w:adjustRightInd w:val="0"/>
        <w:jc w:val="both"/>
        <w:rPr>
          <w:i/>
          <w:lang w:val="en-GB"/>
        </w:rPr>
      </w:pPr>
      <w:r w:rsidRPr="007F4884">
        <w:rPr>
          <w:lang w:val="en-GB"/>
        </w:rPr>
        <w:t xml:space="preserve"> Executive Officer </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sidRPr="007F4884">
        <w:rPr>
          <w:lang w:val="en-GB"/>
        </w:rPr>
        <w:tab/>
        <w:t>Presiding Member</w:t>
      </w:r>
      <w:r>
        <w:rPr>
          <w:i/>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3D4233" w:rsidRDefault="00A23F51" w:rsidP="00A23F51">
      <w:pPr>
        <w:autoSpaceDE w:val="0"/>
        <w:jc w:val="both"/>
        <w:rPr>
          <w:color w:val="000000" w:themeColor="text1"/>
          <w:lang w:val="en-GB"/>
        </w:rPr>
      </w:pPr>
      <w:r w:rsidRPr="003D4233">
        <w:rPr>
          <w:b/>
          <w:color w:val="000000" w:themeColor="text1"/>
          <w:lang w:val="en-GB"/>
        </w:rPr>
        <w:t xml:space="preserve">CCIU </w:t>
      </w:r>
      <w:r w:rsidRPr="00226B37">
        <w:rPr>
          <w:b/>
          <w:color w:val="000000" w:themeColor="text1"/>
          <w:lang w:val="en-GB"/>
        </w:rPr>
        <w:t>-</w:t>
      </w:r>
      <w:r w:rsidRPr="003D4233">
        <w:rPr>
          <w:color w:val="000000" w:themeColor="text1"/>
          <w:lang w:val="en-GB"/>
        </w:rPr>
        <w:t xml:space="preserve"> Central Criminal Investigation Unit</w:t>
      </w:r>
    </w:p>
    <w:p w:rsidR="00A23F51" w:rsidRPr="003D4233" w:rsidRDefault="00A23F51" w:rsidP="00A23F51">
      <w:pPr>
        <w:autoSpaceDE w:val="0"/>
        <w:jc w:val="both"/>
        <w:rPr>
          <w:lang w:val="en-GB"/>
        </w:rPr>
      </w:pPr>
      <w:r w:rsidRPr="003D4233">
        <w:rPr>
          <w:b/>
          <w:lang w:val="en-GB"/>
        </w:rPr>
        <w:t xml:space="preserve">CCPR </w:t>
      </w:r>
      <w:r w:rsidR="00CA0B7F" w:rsidRPr="003D4233">
        <w:rPr>
          <w:b/>
          <w:lang w:val="en-GB"/>
        </w:rPr>
        <w:t>-</w:t>
      </w:r>
      <w:r w:rsidRPr="003D4233">
        <w:rPr>
          <w:b/>
          <w:lang w:val="en-GB"/>
        </w:rPr>
        <w:t xml:space="preserve"> </w:t>
      </w:r>
      <w:r w:rsidRPr="003D4233">
        <w:rPr>
          <w:lang w:val="en-GB"/>
        </w:rPr>
        <w:t>International Covenant on Civil and Political Rights</w:t>
      </w:r>
    </w:p>
    <w:p w:rsidR="00CE3030" w:rsidRPr="003D4233" w:rsidRDefault="00CE3030" w:rsidP="00CE3030">
      <w:pPr>
        <w:jc w:val="both"/>
        <w:rPr>
          <w:lang w:val="en-GB"/>
        </w:rPr>
      </w:pPr>
      <w:r w:rsidRPr="003D4233">
        <w:rPr>
          <w:b/>
          <w:lang w:val="en-GB"/>
        </w:rPr>
        <w:t xml:space="preserve">CCR </w:t>
      </w:r>
      <w:r w:rsidRPr="00226B37">
        <w:rPr>
          <w:b/>
          <w:lang w:val="en-GB"/>
        </w:rPr>
        <w:t>-</w:t>
      </w:r>
      <w:r w:rsidRPr="003D4233">
        <w:rPr>
          <w:lang w:val="en-GB"/>
        </w:rPr>
        <w:t xml:space="preserve"> Case Continuation Report</w:t>
      </w:r>
    </w:p>
    <w:p w:rsidR="00A23F51" w:rsidRPr="003D4233" w:rsidRDefault="00E21754" w:rsidP="00A23F51">
      <w:pPr>
        <w:autoSpaceDE w:val="0"/>
        <w:jc w:val="both"/>
        <w:rPr>
          <w:lang w:val="en-GB"/>
        </w:rPr>
      </w:pPr>
      <w:r w:rsidRPr="003D4233">
        <w:rPr>
          <w:b/>
          <w:lang w:val="en-GB"/>
        </w:rPr>
        <w:t>DOJ</w:t>
      </w:r>
      <w:r w:rsidR="00A23F51" w:rsidRPr="003D4233">
        <w:rPr>
          <w:b/>
          <w:lang w:val="en-GB"/>
        </w:rPr>
        <w:t xml:space="preserve"> </w:t>
      </w:r>
      <w:r w:rsidR="00A23F51" w:rsidRPr="00226B37">
        <w:rPr>
          <w:b/>
          <w:lang w:val="en-GB"/>
        </w:rPr>
        <w:t>-</w:t>
      </w:r>
      <w:r w:rsidR="00A23F51" w:rsidRPr="003D4233">
        <w:rPr>
          <w:lang w:val="en-GB"/>
        </w:rPr>
        <w:t xml:space="preserve"> Department of Justice</w:t>
      </w:r>
    </w:p>
    <w:p w:rsidR="00A23F51" w:rsidRPr="00D22581" w:rsidRDefault="00A23F51" w:rsidP="00A23F51">
      <w:pPr>
        <w:autoSpaceDE w:val="0"/>
        <w:jc w:val="both"/>
        <w:rPr>
          <w:lang w:val="en-GB"/>
        </w:rPr>
      </w:pPr>
      <w:r w:rsidRPr="003D4233">
        <w:rPr>
          <w:b/>
          <w:lang w:val="en-GB"/>
        </w:rPr>
        <w:t>DPPO</w:t>
      </w:r>
      <w:r w:rsidRPr="003D4233">
        <w:rPr>
          <w:lang w:val="en-GB"/>
        </w:rPr>
        <w:t xml:space="preserve"> </w:t>
      </w:r>
      <w:r w:rsidRPr="00226B37">
        <w:rPr>
          <w:b/>
          <w:lang w:val="en-GB"/>
        </w:rPr>
        <w:t>-</w:t>
      </w:r>
      <w:r w:rsidRPr="003D4233">
        <w:rPr>
          <w:lang w:val="en-GB"/>
        </w:rPr>
        <w:t xml:space="preserve">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w:t>
      </w:r>
      <w:r w:rsidRPr="00226B37">
        <w:rPr>
          <w:b/>
          <w:lang w:val="en-GB"/>
        </w:rPr>
        <w:t>-</w:t>
      </w:r>
      <w:r w:rsidRPr="00D22581">
        <w:rPr>
          <w:lang w:val="en-GB"/>
        </w:rPr>
        <w:t xml:space="preserve"> European Convention on Human Rights</w:t>
      </w:r>
    </w:p>
    <w:p w:rsidR="00A23F51" w:rsidRPr="00D22581" w:rsidRDefault="00A23F51" w:rsidP="00A23F51">
      <w:pPr>
        <w:autoSpaceDE w:val="0"/>
        <w:jc w:val="both"/>
        <w:rPr>
          <w:lang w:val="en-GB"/>
        </w:rPr>
      </w:pPr>
      <w:r w:rsidRPr="00D22581">
        <w:rPr>
          <w:b/>
          <w:lang w:val="en-GB"/>
        </w:rPr>
        <w:t>ECtHR</w:t>
      </w:r>
      <w:r w:rsidR="00226B37">
        <w:rPr>
          <w:b/>
          <w:lang w:val="en-GB"/>
        </w:rPr>
        <w:t xml:space="preserve"> </w:t>
      </w:r>
      <w:r w:rsidRPr="00226B37">
        <w:rPr>
          <w:b/>
          <w:lang w:val="en-GB"/>
        </w:rPr>
        <w:t>-</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00226B37">
        <w:rPr>
          <w:lang w:val="en-GB"/>
        </w:rPr>
        <w:t xml:space="preserve"> </w:t>
      </w:r>
      <w:r w:rsidR="00226B37" w:rsidRPr="00226B37">
        <w:rPr>
          <w:b/>
          <w:lang w:val="en-GB"/>
        </w:rPr>
        <w:t>-</w:t>
      </w:r>
      <w:r w:rsidRPr="00D22581">
        <w:rPr>
          <w:lang w:val="en-GB"/>
        </w:rPr>
        <w:t xml:space="preserve">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w:t>
      </w:r>
      <w:r w:rsidRPr="00226B37">
        <w:rPr>
          <w:b/>
          <w:lang w:val="en-GB"/>
        </w:rPr>
        <w:t>-</w:t>
      </w:r>
      <w:r w:rsidRPr="00D22581">
        <w:rPr>
          <w:lang w:val="en-GB"/>
        </w:rPr>
        <w:t xml:space="preserve">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226B37">
        <w:rPr>
          <w:b/>
          <w:lang w:val="en-GB"/>
        </w:rPr>
        <w:t>-</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226B37">
        <w:rPr>
          <w:b/>
          <w:lang w:val="en-GB"/>
        </w:rPr>
        <w:t>-</w:t>
      </w:r>
      <w:r w:rsidRPr="00D22581">
        <w:rPr>
          <w:lang w:val="en-GB"/>
        </w:rPr>
        <w:t xml:space="preserve">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226B37">
        <w:rPr>
          <w:b/>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w:t>
      </w:r>
      <w:r w:rsidRPr="00226B37">
        <w:rPr>
          <w:b/>
          <w:lang w:val="en-GB"/>
        </w:rPr>
        <w:t>-</w:t>
      </w:r>
      <w:r w:rsidRPr="00D22581">
        <w:rPr>
          <w:lang w:val="en-GB"/>
        </w:rPr>
        <w:t xml:space="preserve">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w:t>
      </w:r>
      <w:r w:rsidRPr="00226B37">
        <w:rPr>
          <w:b/>
          <w:lang w:val="en-GB"/>
        </w:rPr>
        <w:t>-</w:t>
      </w:r>
      <w:r w:rsidRPr="00D22581">
        <w:rPr>
          <w:lang w:val="en-GB"/>
        </w:rPr>
        <w:t xml:space="preserve"> International Committee of the Red Cross</w:t>
      </w:r>
    </w:p>
    <w:p w:rsidR="00A23F51" w:rsidRDefault="00A23F51" w:rsidP="00A23F51">
      <w:pPr>
        <w:autoSpaceDE w:val="0"/>
        <w:jc w:val="both"/>
        <w:rPr>
          <w:lang w:val="en-GB"/>
        </w:rPr>
      </w:pPr>
      <w:r w:rsidRPr="00D22581">
        <w:rPr>
          <w:b/>
          <w:lang w:val="en-GB"/>
        </w:rPr>
        <w:t xml:space="preserve">ICTY </w:t>
      </w:r>
      <w:r w:rsidRPr="00226B37">
        <w:rPr>
          <w:b/>
          <w:lang w:val="en-GB"/>
        </w:rPr>
        <w:t>-</w:t>
      </w:r>
      <w:r w:rsidRPr="00D22581">
        <w:rPr>
          <w:lang w:val="en-GB"/>
        </w:rPr>
        <w:t xml:space="preserve">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226B37">
        <w:rPr>
          <w:b/>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w:t>
      </w:r>
      <w:r w:rsidRPr="00226B37">
        <w:rPr>
          <w:b/>
          <w:lang w:val="en-GB"/>
        </w:rPr>
        <w:t>-</w:t>
      </w:r>
      <w:r w:rsidRPr="00D22581">
        <w:rPr>
          <w:lang w:val="en-GB"/>
        </w:rPr>
        <w:t xml:space="preserve">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w:t>
      </w:r>
      <w:r w:rsidRPr="00226B37">
        <w:rPr>
          <w:b/>
          <w:lang w:val="en-GB"/>
        </w:rPr>
        <w:t>-</w:t>
      </w:r>
      <w:r w:rsidRPr="00D22581">
        <w:rPr>
          <w:lang w:val="en-GB"/>
        </w:rPr>
        <w:t xml:space="preserve"> Kosovo Liberation Army</w:t>
      </w:r>
    </w:p>
    <w:p w:rsidR="00A23F51" w:rsidRPr="00D22581" w:rsidRDefault="00A23F51" w:rsidP="00A23F51">
      <w:pPr>
        <w:autoSpaceDE w:val="0"/>
        <w:jc w:val="both"/>
        <w:rPr>
          <w:lang w:val="en-GB"/>
        </w:rPr>
      </w:pPr>
      <w:r w:rsidRPr="00D22581">
        <w:rPr>
          <w:b/>
          <w:lang w:val="en-GB"/>
        </w:rPr>
        <w:t xml:space="preserve">MPU </w:t>
      </w:r>
      <w:r w:rsidRPr="00226B37">
        <w:rPr>
          <w:b/>
          <w:lang w:val="en-GB"/>
        </w:rPr>
        <w:t>-</w:t>
      </w:r>
      <w:r w:rsidRPr="00D22581">
        <w:rPr>
          <w:lang w:val="en-GB"/>
        </w:rPr>
        <w:t xml:space="preserve">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w:t>
      </w:r>
      <w:r w:rsidRPr="00226B37">
        <w:rPr>
          <w:b/>
          <w:lang w:val="en-GB"/>
        </w:rPr>
        <w:t xml:space="preserve">- </w:t>
      </w:r>
      <w:r w:rsidRPr="00D22581">
        <w:rPr>
          <w:lang w:val="en-GB"/>
        </w:rPr>
        <w:t xml:space="preserve">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w:t>
      </w:r>
      <w:r w:rsidRPr="00226B37">
        <w:rPr>
          <w:b/>
          <w:lang w:val="en-GB"/>
        </w:rPr>
        <w:t>-</w:t>
      </w:r>
      <w:r w:rsidRPr="00D22581">
        <w:rPr>
          <w:lang w:val="en-GB"/>
        </w:rPr>
        <w:t xml:space="preserve"> Office on Missing Persons and Forensics</w:t>
      </w:r>
    </w:p>
    <w:p w:rsidR="00A23F51" w:rsidRDefault="00A23F51" w:rsidP="00A23F51">
      <w:pPr>
        <w:autoSpaceDE w:val="0"/>
        <w:jc w:val="both"/>
        <w:rPr>
          <w:lang w:val="en-GB"/>
        </w:rPr>
      </w:pPr>
      <w:r w:rsidRPr="00D22581">
        <w:rPr>
          <w:b/>
          <w:lang w:val="en-GB"/>
        </w:rPr>
        <w:t>OSCE</w:t>
      </w:r>
      <w:r w:rsidRPr="00D22581">
        <w:rPr>
          <w:lang w:val="en-GB"/>
        </w:rPr>
        <w:t xml:space="preserve"> </w:t>
      </w:r>
      <w:r w:rsidRPr="00226B37">
        <w:rPr>
          <w:b/>
          <w:lang w:val="en-GB"/>
        </w:rPr>
        <w:t>-</w:t>
      </w:r>
      <w:r w:rsidRPr="00D22581">
        <w:rPr>
          <w:lang w:val="en-GB"/>
        </w:rPr>
        <w:t xml:space="preserve"> Organization for Security and Cooperation in Europe</w:t>
      </w:r>
    </w:p>
    <w:p w:rsidR="0063322C" w:rsidRPr="00D22581" w:rsidRDefault="0063322C" w:rsidP="00A23F51">
      <w:pPr>
        <w:autoSpaceDE w:val="0"/>
        <w:jc w:val="both"/>
        <w:rPr>
          <w:lang w:val="en-GB"/>
        </w:rPr>
      </w:pPr>
      <w:r w:rsidRPr="0063322C">
        <w:rPr>
          <w:b/>
          <w:lang w:val="en-GB"/>
        </w:rPr>
        <w:t>OTP</w:t>
      </w:r>
      <w:r>
        <w:rPr>
          <w:lang w:val="en-GB"/>
        </w:rPr>
        <w:t xml:space="preserve"> </w:t>
      </w:r>
      <w:r w:rsidRPr="00226B37">
        <w:rPr>
          <w:b/>
          <w:lang w:val="en-GB"/>
        </w:rPr>
        <w:t>-</w:t>
      </w:r>
      <w:r>
        <w:rPr>
          <w:lang w:val="en-GB"/>
        </w:rPr>
        <w:t xml:space="preserve"> ICTY Office of the Prosecutor</w:t>
      </w:r>
    </w:p>
    <w:p w:rsidR="00A23F51" w:rsidRDefault="00A23F51" w:rsidP="00A23F51">
      <w:pPr>
        <w:autoSpaceDE w:val="0"/>
        <w:jc w:val="both"/>
        <w:rPr>
          <w:lang w:val="en-GB"/>
        </w:rPr>
      </w:pPr>
      <w:r w:rsidRPr="00D22581">
        <w:rPr>
          <w:b/>
          <w:lang w:val="en-GB"/>
        </w:rPr>
        <w:t>RIU</w:t>
      </w:r>
      <w:r w:rsidRPr="00D22581">
        <w:rPr>
          <w:lang w:val="en-GB"/>
        </w:rPr>
        <w:t xml:space="preserve"> </w:t>
      </w:r>
      <w:r w:rsidRPr="00226B37">
        <w:rPr>
          <w:b/>
          <w:lang w:val="en-GB"/>
        </w:rPr>
        <w:t>-</w:t>
      </w:r>
      <w:r w:rsidRPr="00D22581">
        <w:rPr>
          <w:lang w:val="en-GB"/>
        </w:rPr>
        <w:t xml:space="preserve"> Regional Investigation Unit</w:t>
      </w:r>
    </w:p>
    <w:p w:rsidR="00F378D0" w:rsidRPr="00D22581" w:rsidRDefault="00F378D0" w:rsidP="00A23F51">
      <w:pPr>
        <w:autoSpaceDE w:val="0"/>
        <w:jc w:val="both"/>
        <w:rPr>
          <w:lang w:val="en-GB"/>
        </w:rPr>
      </w:pPr>
      <w:r w:rsidRPr="00F378D0">
        <w:rPr>
          <w:b/>
          <w:lang w:val="en-GB"/>
        </w:rPr>
        <w:t>RoP</w:t>
      </w:r>
      <w:r w:rsidRPr="00F378D0">
        <w:rPr>
          <w:lang w:val="en-GB"/>
        </w:rPr>
        <w:t xml:space="preserve"> </w:t>
      </w:r>
      <w:r w:rsidRPr="00226B37">
        <w:rPr>
          <w:b/>
          <w:lang w:val="en-GB"/>
        </w:rPr>
        <w:t>-</w:t>
      </w:r>
      <w:r w:rsidRPr="00F378D0">
        <w:rPr>
          <w:lang w:val="en-GB"/>
        </w:rPr>
        <w:t xml:space="preserve"> Rules of Procedure and Evidence</w:t>
      </w:r>
    </w:p>
    <w:p w:rsidR="00A23F51" w:rsidRPr="00D22581" w:rsidRDefault="00A23F51" w:rsidP="00A23F51">
      <w:pPr>
        <w:autoSpaceDE w:val="0"/>
        <w:jc w:val="both"/>
        <w:rPr>
          <w:lang w:val="en-GB"/>
        </w:rPr>
      </w:pPr>
      <w:r w:rsidRPr="00D22581">
        <w:rPr>
          <w:b/>
          <w:lang w:val="en-GB"/>
        </w:rPr>
        <w:t>SRSG</w:t>
      </w:r>
      <w:r w:rsidRPr="00D22581">
        <w:rPr>
          <w:lang w:val="en-GB"/>
        </w:rPr>
        <w:t xml:space="preserve"> </w:t>
      </w:r>
      <w:r w:rsidRPr="00226B37">
        <w:rPr>
          <w:b/>
          <w:lang w:val="en-GB"/>
        </w:rPr>
        <w:t>-</w:t>
      </w:r>
      <w:r w:rsidRPr="00D22581">
        <w:rPr>
          <w:lang w:val="en-GB"/>
        </w:rPr>
        <w:t xml:space="preserve">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w:t>
      </w:r>
      <w:r w:rsidRPr="00226B37">
        <w:rPr>
          <w:b/>
          <w:lang w:val="en-GB"/>
        </w:rPr>
        <w:t>-</w:t>
      </w:r>
      <w:r w:rsidRPr="00D22581">
        <w:rPr>
          <w:lang w:val="en-GB"/>
        </w:rPr>
        <w:t xml:space="preserve"> United Nations</w:t>
      </w:r>
    </w:p>
    <w:p w:rsidR="00A23F51" w:rsidRPr="00D22581" w:rsidRDefault="00A23F51" w:rsidP="00A23F51">
      <w:pPr>
        <w:autoSpaceDE w:val="0"/>
        <w:jc w:val="both"/>
        <w:rPr>
          <w:lang w:val="en-GB"/>
        </w:rPr>
      </w:pPr>
      <w:r w:rsidRPr="00D22581">
        <w:rPr>
          <w:b/>
          <w:lang w:val="en-GB"/>
        </w:rPr>
        <w:t xml:space="preserve">UNHCR </w:t>
      </w:r>
      <w:r w:rsidRPr="00226B37">
        <w:rPr>
          <w:b/>
          <w:lang w:val="en-GB"/>
        </w:rPr>
        <w:t xml:space="preserve">- </w:t>
      </w:r>
      <w:r w:rsidRPr="00D22581">
        <w:rPr>
          <w:lang w:val="en-GB"/>
        </w:rPr>
        <w:t>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w:t>
      </w:r>
      <w:r w:rsidRPr="00226B37">
        <w:rPr>
          <w:b/>
          <w:lang w:val="en-GB"/>
        </w:rPr>
        <w:t>-</w:t>
      </w:r>
      <w:r w:rsidRPr="00226B37">
        <w:rPr>
          <w:lang w:val="en-GB"/>
        </w:rPr>
        <w:t xml:space="preserve"> United</w:t>
      </w:r>
      <w:r w:rsidRPr="00D22581">
        <w:rPr>
          <w:lang w:val="en-GB"/>
        </w:rPr>
        <w:t xml:space="preserve"> Nations Interim Administration Mission in Kosovo </w:t>
      </w:r>
    </w:p>
    <w:p w:rsidR="00262B44"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226B37">
        <w:rPr>
          <w:b/>
          <w:lang w:val="en-GB"/>
        </w:rPr>
        <w:t xml:space="preserve">- </w:t>
      </w:r>
      <w:r w:rsidR="00A23F51" w:rsidRPr="00D22581">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AA" w:rsidRDefault="00EF1CAA">
      <w:r>
        <w:separator/>
      </w:r>
    </w:p>
  </w:endnote>
  <w:endnote w:type="continuationSeparator" w:id="0">
    <w:p w:rsidR="00EF1CAA" w:rsidRDefault="00EF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AA" w:rsidRDefault="00EF1CAA">
      <w:r>
        <w:separator/>
      </w:r>
    </w:p>
  </w:footnote>
  <w:footnote w:type="continuationSeparator" w:id="0">
    <w:p w:rsidR="00EF1CAA" w:rsidRDefault="00EF1CAA">
      <w:r>
        <w:continuationSeparator/>
      </w:r>
    </w:p>
  </w:footnote>
  <w:footnote w:id="1">
    <w:p w:rsidR="00AF1618" w:rsidRPr="00500351" w:rsidRDefault="00AF1618" w:rsidP="00477162">
      <w:pPr>
        <w:pStyle w:val="FootnoteText"/>
        <w:jc w:val="both"/>
        <w:rPr>
          <w:rFonts w:ascii="Times New Roman" w:hAnsi="Times New Roman"/>
          <w:sz w:val="20"/>
        </w:rPr>
      </w:pPr>
      <w:r w:rsidRPr="00500351">
        <w:rPr>
          <w:rFonts w:ascii="Times New Roman" w:hAnsi="Times New Roman"/>
          <w:sz w:val="20"/>
          <w:vertAlign w:val="superscript"/>
        </w:rPr>
        <w:footnoteRef/>
      </w:r>
      <w:r w:rsidRPr="00500351">
        <w:rPr>
          <w:rFonts w:ascii="Times New Roman" w:hAnsi="Times New Roman"/>
          <w:sz w:val="20"/>
          <w:vertAlign w:val="superscript"/>
        </w:rPr>
        <w:t xml:space="preserve"> </w:t>
      </w:r>
      <w:r w:rsidRPr="00500351">
        <w:rPr>
          <w:rFonts w:ascii="Times New Roman" w:hAnsi="Times New Roman"/>
          <w:sz w:val="20"/>
        </w:rPr>
        <w:t>A list of abbreviations and acronyms contained in the text can be found in the attached Annex.</w:t>
      </w:r>
    </w:p>
  </w:footnote>
  <w:footnote w:id="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references drawn upon by the Panel in setting out this general background include: OSCE, </w:t>
      </w:r>
      <w:r w:rsidRPr="003D7ABB">
        <w:rPr>
          <w:rFonts w:ascii="Times New Roman" w:hAnsi="Times New Roman"/>
          <w:i/>
          <w:sz w:val="20"/>
        </w:rPr>
        <w:t>“As Seen, as Told”</w:t>
      </w:r>
      <w:r w:rsidRPr="00500351">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3D7ABB">
        <w:rPr>
          <w:rFonts w:ascii="Times New Roman" w:hAnsi="Times New Roman"/>
          <w:i/>
          <w:sz w:val="20"/>
        </w:rPr>
        <w:t>“Abductions and Disappearances of non-Albanians in Kosovo”</w:t>
      </w:r>
      <w:r w:rsidRPr="00500351">
        <w:rPr>
          <w:rFonts w:ascii="Times New Roman" w:hAnsi="Times New Roman"/>
          <w:sz w:val="20"/>
        </w:rPr>
        <w:t xml:space="preserve"> (2001); Humanitarian Law Centre, “Kosovo Memory Book” (htpp://www.kosovomemorybook.org); UNMIK Office on Missing Persons and Forensics, Activity Report 2002-2004; European Court of Human Rights, </w:t>
      </w:r>
      <w:r w:rsidRPr="00500351">
        <w:rPr>
          <w:rFonts w:ascii="Times New Roman" w:hAnsi="Times New Roman"/>
          <w:i/>
          <w:sz w:val="20"/>
        </w:rPr>
        <w:t>Behrami and Behrami v. France</w:t>
      </w:r>
      <w:r w:rsidRPr="00500351">
        <w:rPr>
          <w:rFonts w:ascii="Times New Roman" w:hAnsi="Times New Roman"/>
          <w:sz w:val="20"/>
        </w:rPr>
        <w:t xml:space="preserve"> and </w:t>
      </w:r>
      <w:r w:rsidRPr="00500351">
        <w:rPr>
          <w:rFonts w:ascii="Times New Roman" w:hAnsi="Times New Roman"/>
          <w:i/>
          <w:sz w:val="20"/>
        </w:rPr>
        <w:t>Saramati v. France, Germany and Norway</w:t>
      </w:r>
      <w:r w:rsidRPr="00500351">
        <w:rPr>
          <w:rFonts w:ascii="Times New Roman" w:hAnsi="Times New Roman"/>
          <w:sz w:val="20"/>
        </w:rPr>
        <w:t xml:space="preserve">, nos </w:t>
      </w:r>
      <w:r w:rsidRPr="00500351">
        <w:rPr>
          <w:rStyle w:val="sb8d990e2"/>
          <w:rFonts w:ascii="Times New Roman" w:hAnsi="Times New Roman"/>
          <w:sz w:val="20"/>
        </w:rPr>
        <w:t xml:space="preserve">71412/01 and78166/01, </w:t>
      </w:r>
      <w:r w:rsidRPr="00500351">
        <w:rPr>
          <w:rFonts w:ascii="Times New Roman" w:hAnsi="Times New Roman"/>
          <w:sz w:val="20"/>
        </w:rPr>
        <w:t xml:space="preserve">decision of 2 May 2007; International Commission on Missing Persons, </w:t>
      </w:r>
      <w:r w:rsidRPr="003D7ABB">
        <w:rPr>
          <w:rFonts w:ascii="Times New Roman" w:hAnsi="Times New Roman"/>
          <w:i/>
          <w:sz w:val="20"/>
        </w:rPr>
        <w:t>“The Situation in Kosovo: a Stock Taking”</w:t>
      </w:r>
      <w:r w:rsidRPr="00500351">
        <w:rPr>
          <w:rFonts w:ascii="Times New Roman" w:hAnsi="Times New Roman"/>
          <w:sz w:val="20"/>
        </w:rPr>
        <w:t xml:space="preserve"> (2010); data issued by the United Nations High Commissioner for Refugees, (available at </w:t>
      </w:r>
      <w:hyperlink r:id="rId1" w:history="1">
        <w:r w:rsidRPr="00500351">
          <w:rPr>
            <w:rStyle w:val="Hyperlink"/>
            <w:rFonts w:ascii="Times New Roman" w:hAnsi="Times New Roman"/>
            <w:color w:val="auto"/>
            <w:sz w:val="20"/>
          </w:rPr>
          <w:t>www.unhchr.org</w:t>
        </w:r>
      </w:hyperlink>
      <w:r w:rsidRPr="00500351">
        <w:rPr>
          <w:rFonts w:ascii="Times New Roman" w:hAnsi="Times New Roman"/>
          <w:sz w:val="20"/>
        </w:rPr>
        <w:t xml:space="preserve">) and by the International Committee of the Red Cross (available at </w:t>
      </w:r>
      <w:hyperlink r:id="rId2" w:history="1">
        <w:r w:rsidRPr="00500351">
          <w:rPr>
            <w:rStyle w:val="Hyperlink"/>
            <w:rFonts w:ascii="Times New Roman" w:hAnsi="Times New Roman"/>
            <w:color w:val="auto"/>
            <w:sz w:val="20"/>
          </w:rPr>
          <w:t>http://familylinks.icrc.org/kosovo/en</w:t>
        </w:r>
      </w:hyperlink>
      <w:r w:rsidRPr="00500351">
        <w:rPr>
          <w:rFonts w:ascii="Times New Roman" w:hAnsi="Times New Roman"/>
          <w:sz w:val="20"/>
        </w:rPr>
        <w:t>).</w:t>
      </w:r>
    </w:p>
  </w:footnote>
  <w:footnote w:id="3">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ICRC database is an electronic source available at: </w:t>
      </w:r>
      <w:hyperlink r:id="rId3" w:history="1">
        <w:r w:rsidRPr="00500351">
          <w:rPr>
            <w:rStyle w:val="Hyperlink"/>
            <w:rFonts w:ascii="Times New Roman" w:hAnsi="Times New Roman"/>
            <w:color w:val="auto"/>
            <w:sz w:val="20"/>
          </w:rPr>
          <w:t>http://familylinks.icrc.org/kosovo/en/pages/search-persons.aspx</w:t>
        </w:r>
      </w:hyperlink>
      <w:r w:rsidRPr="00500351">
        <w:rPr>
          <w:rFonts w:ascii="Times New Roman" w:hAnsi="Times New Roman"/>
          <w:sz w:val="20"/>
        </w:rPr>
        <w:t xml:space="preserve"> (accessed on 10 November 2014).</w:t>
      </w:r>
    </w:p>
  </w:footnote>
  <w:footnote w:id="4">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The OMPF database is an electronic source not open to public. The Panel accessed it with regard to this case on 11 November 2014.</w:t>
      </w:r>
    </w:p>
  </w:footnote>
  <w:footnote w:id="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ICMP database is an electronic source available at:  </w:t>
      </w:r>
      <w:hyperlink r:id="rId4" w:history="1">
        <w:r w:rsidRPr="00500351">
          <w:rPr>
            <w:rStyle w:val="Hyperlink"/>
            <w:rFonts w:ascii="Times New Roman" w:hAnsi="Times New Roman"/>
            <w:color w:val="auto"/>
            <w:sz w:val="20"/>
          </w:rPr>
          <w:t>http://www.ic-mp.org/fdmsweb/index.php?w=mp_details&amp;l=en</w:t>
        </w:r>
      </w:hyperlink>
      <w:r w:rsidRPr="00500351">
        <w:rPr>
          <w:rFonts w:ascii="Times New Roman" w:hAnsi="Times New Roman"/>
          <w:sz w:val="20"/>
        </w:rPr>
        <w:t xml:space="preserve"> (accessed on 10 November 2014).</w:t>
      </w:r>
    </w:p>
  </w:footnote>
  <w:footnote w:id="6">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7">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8">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9">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0">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1">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3">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11 November 2014.</w:t>
      </w:r>
      <w:proofErr w:type="gramEnd"/>
    </w:p>
  </w:footnote>
  <w:footnote w:id="14">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6">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7">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8">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This information was obtained by the Panel from the publicly available HPD/HPCC webpage [electronic source] at http://www.kpaonline.org/hpd/index.htm (accessed on 19 </w:t>
      </w:r>
      <w:r w:rsidRPr="00500351">
        <w:rPr>
          <w:rFonts w:ascii="Times New Roman" w:hAnsi="Times New Roman"/>
          <w:sz w:val="20"/>
        </w:rPr>
        <w:t xml:space="preserve">November </w:t>
      </w:r>
      <w:r w:rsidRPr="00500351">
        <w:rPr>
          <w:rFonts w:ascii="Times New Roman" w:hAnsi="Times New Roman"/>
          <w:sz w:val="20"/>
          <w:lang w:val="en-US"/>
        </w:rPr>
        <w:t>2014).</w:t>
      </w:r>
    </w:p>
  </w:footnote>
  <w:footnote w:id="19">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500351">
        <w:rPr>
          <w:rFonts w:ascii="Times New Roman" w:hAnsi="Times New Roman"/>
          <w:bCs/>
          <w:color w:val="000000" w:themeColor="text1"/>
          <w:sz w:val="20"/>
        </w:rPr>
        <w:t xml:space="preserve"> Official Webpage [electronic source] - </w:t>
      </w:r>
      <w:r w:rsidRPr="00500351">
        <w:rPr>
          <w:rFonts w:ascii="Times New Roman" w:hAnsi="Times New Roman"/>
          <w:color w:val="000000" w:themeColor="text1"/>
          <w:sz w:val="20"/>
        </w:rPr>
        <w:t>http://www.icty.org/sid/7733 (accessed on 10 November 2014).</w:t>
      </w:r>
    </w:p>
  </w:footnote>
  <w:footnote w:id="20">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3D7ABB">
        <w:rPr>
          <w:rFonts w:ascii="Times New Roman" w:hAnsi="Times New Roman"/>
          <w:bCs/>
          <w:i/>
          <w:color w:val="000000" w:themeColor="text1"/>
          <w:sz w:val="20"/>
        </w:rPr>
        <w:t>Tribunal closes field offices in Croatia and Kosovo</w:t>
      </w:r>
      <w:r w:rsidRPr="00500351">
        <w:rPr>
          <w:rFonts w:ascii="Times New Roman" w:hAnsi="Times New Roman"/>
          <w:bCs/>
          <w:color w:val="000000" w:themeColor="text1"/>
          <w:sz w:val="20"/>
        </w:rPr>
        <w:t xml:space="preserve"> // ICTY Official Webpage [electronic source] - </w:t>
      </w:r>
      <w:r w:rsidRPr="00500351">
        <w:rPr>
          <w:rFonts w:ascii="Times New Roman" w:hAnsi="Times New Roman"/>
          <w:color w:val="000000" w:themeColor="text1"/>
          <w:sz w:val="20"/>
        </w:rPr>
        <w:t xml:space="preserve">http://www.icty.org/sid/11180 (accessed on 8 </w:t>
      </w:r>
      <w:r w:rsidRPr="00500351">
        <w:rPr>
          <w:rFonts w:ascii="Times New Roman" w:hAnsi="Times New Roman"/>
          <w:sz w:val="20"/>
        </w:rPr>
        <w:t xml:space="preserve">November </w:t>
      </w:r>
      <w:r w:rsidRPr="00500351">
        <w:rPr>
          <w:rFonts w:ascii="Times New Roman" w:hAnsi="Times New Roman"/>
          <w:color w:val="000000" w:themeColor="text1"/>
          <w:sz w:val="20"/>
        </w:rPr>
        <w:t>2014).</w:t>
      </w:r>
    </w:p>
  </w:footnote>
  <w:footnote w:id="21">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500351">
        <w:rPr>
          <w:rFonts w:ascii="Times New Roman" w:hAnsi="Times New Roman"/>
          <w:bCs/>
          <w:color w:val="000000" w:themeColor="text1"/>
          <w:sz w:val="20"/>
        </w:rPr>
        <w:t>Ibid</w:t>
      </w:r>
      <w:r w:rsidRPr="00500351">
        <w:rPr>
          <w:rFonts w:ascii="Times New Roman" w:hAnsi="Times New Roman"/>
          <w:color w:val="000000" w:themeColor="text1"/>
          <w:sz w:val="20"/>
        </w:rPr>
        <w:t>.</w:t>
      </w:r>
    </w:p>
  </w:footnote>
  <w:footnote w:id="22">
    <w:p w:rsidR="00AF1618" w:rsidRPr="00641418"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See further on this issue: </w:t>
      </w:r>
      <w:r w:rsidRPr="00500351">
        <w:rPr>
          <w:rFonts w:ascii="Times New Roman" w:hAnsi="Times New Roman"/>
          <w:i/>
          <w:sz w:val="20"/>
          <w:lang w:val="en-US"/>
        </w:rPr>
        <w:t>Property Rights in Kosovo: A Haunting Legacy of a Society in Transition (2009)</w:t>
      </w:r>
      <w:r w:rsidRPr="00500351">
        <w:rPr>
          <w:rFonts w:ascii="Times New Roman" w:hAnsi="Times New Roman"/>
          <w:sz w:val="20"/>
          <w:lang w:val="en-US"/>
        </w:rPr>
        <w:t xml:space="preserve">, International Center for Transitional Justice, p. 13 // ICTJ webpage [electronic source] - https://ictj.org/sites/default/files/ICTJ-FormerYugoslavia-Kosovo-Legacy-2004-English.pdf  (accessed on 11 November 2014); Kasapolli V. </w:t>
      </w:r>
      <w:r w:rsidRPr="003D7ABB">
        <w:rPr>
          <w:rFonts w:ascii="Times New Roman" w:hAnsi="Times New Roman"/>
          <w:i/>
          <w:sz w:val="20"/>
        </w:rPr>
        <w:t>Kosovo's stolen properties</w:t>
      </w:r>
      <w:r w:rsidRPr="00500351">
        <w:rPr>
          <w:rFonts w:ascii="Times New Roman" w:hAnsi="Times New Roman"/>
          <w:sz w:val="20"/>
        </w:rPr>
        <w:t xml:space="preserve"> // Osservatorio Balcani e Caucaso webpage </w:t>
      </w:r>
      <w:r w:rsidRPr="00500351">
        <w:rPr>
          <w:rFonts w:ascii="Times New Roman" w:hAnsi="Times New Roman"/>
          <w:sz w:val="20"/>
          <w:lang w:val="en-US"/>
        </w:rPr>
        <w:t xml:space="preserve">[electronic source] - </w:t>
      </w:r>
      <w:r w:rsidRPr="00500351">
        <w:rPr>
          <w:rFonts w:ascii="Times New Roman" w:hAnsi="Times New Roman"/>
          <w:sz w:val="20"/>
        </w:rPr>
        <w:t xml:space="preserve">http://www.balcanicaucaso.org/eng/Regions-and-countries/Kosovo/Kosovo-s-stolen-properties-48031 </w:t>
      </w:r>
      <w:r w:rsidRPr="00500351">
        <w:rPr>
          <w:rFonts w:ascii="Times New Roman" w:hAnsi="Times New Roman"/>
          <w:sz w:val="20"/>
          <w:lang w:val="en-US"/>
        </w:rPr>
        <w:t>(accessed on 11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8" w:rsidRPr="000722CE" w:rsidRDefault="009F41BA">
    <w:pPr>
      <w:pStyle w:val="Header"/>
      <w:jc w:val="right"/>
      <w:rPr>
        <w:sz w:val="20"/>
        <w:szCs w:val="20"/>
      </w:rPr>
    </w:pPr>
    <w:r w:rsidRPr="000722CE">
      <w:rPr>
        <w:sz w:val="20"/>
        <w:szCs w:val="20"/>
      </w:rPr>
      <w:fldChar w:fldCharType="begin"/>
    </w:r>
    <w:r w:rsidR="00AF1618" w:rsidRPr="000722CE">
      <w:rPr>
        <w:sz w:val="20"/>
        <w:szCs w:val="20"/>
      </w:rPr>
      <w:instrText xml:space="preserve"> PAGE   \* MERGEFORMAT </w:instrText>
    </w:r>
    <w:r w:rsidRPr="000722CE">
      <w:rPr>
        <w:sz w:val="20"/>
        <w:szCs w:val="20"/>
      </w:rPr>
      <w:fldChar w:fldCharType="separate"/>
    </w:r>
    <w:r w:rsidR="00E27C05">
      <w:rPr>
        <w:noProof/>
        <w:sz w:val="20"/>
        <w:szCs w:val="20"/>
      </w:rPr>
      <w:t>2</w:t>
    </w:r>
    <w:r w:rsidRPr="000722CE">
      <w:rPr>
        <w:sz w:val="20"/>
        <w:szCs w:val="20"/>
      </w:rPr>
      <w:fldChar w:fldCharType="end"/>
    </w:r>
  </w:p>
  <w:p w:rsidR="00AF1618" w:rsidRDefault="00AF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9C2A737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27A0F"/>
    <w:multiLevelType w:val="hybridMultilevel"/>
    <w:tmpl w:val="2E94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2"/>
  </w:num>
  <w:num w:numId="6">
    <w:abstractNumId w:val="3"/>
  </w:num>
  <w:num w:numId="7">
    <w:abstractNumId w:val="0"/>
  </w:num>
  <w:num w:numId="8">
    <w:abstractNumId w:val="1"/>
  </w:num>
  <w:num w:numId="9">
    <w:abstractNumId w:val="9"/>
  </w:num>
  <w:num w:numId="10">
    <w:abstractNumId w:val="7"/>
  </w:num>
  <w:num w:numId="11">
    <w:abstractNumId w:val="10"/>
  </w:num>
  <w:num w:numId="12">
    <w:abstractNumId w:val="5"/>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ADA"/>
    <w:rsid w:val="00045A7E"/>
    <w:rsid w:val="000474AA"/>
    <w:rsid w:val="00047CFD"/>
    <w:rsid w:val="00050888"/>
    <w:rsid w:val="00051D3B"/>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B8E"/>
    <w:rsid w:val="000D0543"/>
    <w:rsid w:val="000D1326"/>
    <w:rsid w:val="000D168C"/>
    <w:rsid w:val="000D247F"/>
    <w:rsid w:val="000D3554"/>
    <w:rsid w:val="000D4484"/>
    <w:rsid w:val="000D49B3"/>
    <w:rsid w:val="000D59E7"/>
    <w:rsid w:val="000D5BCF"/>
    <w:rsid w:val="000D6E74"/>
    <w:rsid w:val="000E12A4"/>
    <w:rsid w:val="000E215B"/>
    <w:rsid w:val="000E23B6"/>
    <w:rsid w:val="000E4712"/>
    <w:rsid w:val="000E6180"/>
    <w:rsid w:val="000E6484"/>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3F21"/>
    <w:rsid w:val="00164407"/>
    <w:rsid w:val="00164F90"/>
    <w:rsid w:val="0016631D"/>
    <w:rsid w:val="00167BC8"/>
    <w:rsid w:val="001727C1"/>
    <w:rsid w:val="00173C3A"/>
    <w:rsid w:val="00173F75"/>
    <w:rsid w:val="0017456A"/>
    <w:rsid w:val="001775CF"/>
    <w:rsid w:val="0018048F"/>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5282"/>
    <w:rsid w:val="001F5BEA"/>
    <w:rsid w:val="00201CB5"/>
    <w:rsid w:val="002027D0"/>
    <w:rsid w:val="00203109"/>
    <w:rsid w:val="0020313F"/>
    <w:rsid w:val="0020354D"/>
    <w:rsid w:val="00203FF4"/>
    <w:rsid w:val="002048DB"/>
    <w:rsid w:val="002074D2"/>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6B37"/>
    <w:rsid w:val="00227B38"/>
    <w:rsid w:val="00230E7E"/>
    <w:rsid w:val="00231EE6"/>
    <w:rsid w:val="0023308F"/>
    <w:rsid w:val="00235080"/>
    <w:rsid w:val="0023537F"/>
    <w:rsid w:val="0023601C"/>
    <w:rsid w:val="00236471"/>
    <w:rsid w:val="002368BB"/>
    <w:rsid w:val="00237FE0"/>
    <w:rsid w:val="002416B7"/>
    <w:rsid w:val="00241D86"/>
    <w:rsid w:val="00241F89"/>
    <w:rsid w:val="00242DE6"/>
    <w:rsid w:val="00242F9E"/>
    <w:rsid w:val="0024522D"/>
    <w:rsid w:val="00245E49"/>
    <w:rsid w:val="002473B8"/>
    <w:rsid w:val="002524AF"/>
    <w:rsid w:val="0025400A"/>
    <w:rsid w:val="00255FC2"/>
    <w:rsid w:val="00262B44"/>
    <w:rsid w:val="00263BBD"/>
    <w:rsid w:val="00263ED3"/>
    <w:rsid w:val="0026408E"/>
    <w:rsid w:val="002709F7"/>
    <w:rsid w:val="00270A0B"/>
    <w:rsid w:val="00270A61"/>
    <w:rsid w:val="002713B8"/>
    <w:rsid w:val="00273AD3"/>
    <w:rsid w:val="0027438C"/>
    <w:rsid w:val="002745D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D1A"/>
    <w:rsid w:val="002B3F00"/>
    <w:rsid w:val="002B4AD5"/>
    <w:rsid w:val="002B62D1"/>
    <w:rsid w:val="002C03BD"/>
    <w:rsid w:val="002C31D4"/>
    <w:rsid w:val="002C6D03"/>
    <w:rsid w:val="002C6D48"/>
    <w:rsid w:val="002D13E5"/>
    <w:rsid w:val="002D3124"/>
    <w:rsid w:val="002D4761"/>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63F0"/>
    <w:rsid w:val="002F655D"/>
    <w:rsid w:val="002F739D"/>
    <w:rsid w:val="00300DB4"/>
    <w:rsid w:val="003032C7"/>
    <w:rsid w:val="00304786"/>
    <w:rsid w:val="00304D18"/>
    <w:rsid w:val="00304E22"/>
    <w:rsid w:val="00304F93"/>
    <w:rsid w:val="00305A83"/>
    <w:rsid w:val="00306F9A"/>
    <w:rsid w:val="00310F91"/>
    <w:rsid w:val="0031189E"/>
    <w:rsid w:val="00312441"/>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4F7"/>
    <w:rsid w:val="00374970"/>
    <w:rsid w:val="003778B8"/>
    <w:rsid w:val="00377C18"/>
    <w:rsid w:val="00381396"/>
    <w:rsid w:val="003819D0"/>
    <w:rsid w:val="0038203A"/>
    <w:rsid w:val="0038216C"/>
    <w:rsid w:val="0038424B"/>
    <w:rsid w:val="00385E44"/>
    <w:rsid w:val="00387BFC"/>
    <w:rsid w:val="003906FF"/>
    <w:rsid w:val="00390ACB"/>
    <w:rsid w:val="003936AC"/>
    <w:rsid w:val="00393E8D"/>
    <w:rsid w:val="00394C35"/>
    <w:rsid w:val="0039611D"/>
    <w:rsid w:val="00396222"/>
    <w:rsid w:val="003967C3"/>
    <w:rsid w:val="003A03A5"/>
    <w:rsid w:val="003A60E0"/>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13356"/>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050"/>
    <w:rsid w:val="004474B4"/>
    <w:rsid w:val="0045115A"/>
    <w:rsid w:val="004523E6"/>
    <w:rsid w:val="004524C8"/>
    <w:rsid w:val="00456871"/>
    <w:rsid w:val="00463305"/>
    <w:rsid w:val="0046424F"/>
    <w:rsid w:val="0046493A"/>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8C"/>
    <w:rsid w:val="004B7B44"/>
    <w:rsid w:val="004B7D5D"/>
    <w:rsid w:val="004C16A0"/>
    <w:rsid w:val="004C27F8"/>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7204"/>
    <w:rsid w:val="004F75A9"/>
    <w:rsid w:val="00500351"/>
    <w:rsid w:val="005009F9"/>
    <w:rsid w:val="00502173"/>
    <w:rsid w:val="00502C16"/>
    <w:rsid w:val="00504910"/>
    <w:rsid w:val="00505671"/>
    <w:rsid w:val="00505C47"/>
    <w:rsid w:val="00505DC7"/>
    <w:rsid w:val="0051097E"/>
    <w:rsid w:val="00510BAF"/>
    <w:rsid w:val="005121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746"/>
    <w:rsid w:val="00527761"/>
    <w:rsid w:val="00532443"/>
    <w:rsid w:val="00532491"/>
    <w:rsid w:val="00534005"/>
    <w:rsid w:val="0053551B"/>
    <w:rsid w:val="00535F04"/>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601C"/>
    <w:rsid w:val="005D6B03"/>
    <w:rsid w:val="005E361B"/>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30DE"/>
    <w:rsid w:val="0063322C"/>
    <w:rsid w:val="006366D0"/>
    <w:rsid w:val="006370CF"/>
    <w:rsid w:val="006375E8"/>
    <w:rsid w:val="00637E9B"/>
    <w:rsid w:val="00641418"/>
    <w:rsid w:val="00641D5D"/>
    <w:rsid w:val="00643F50"/>
    <w:rsid w:val="0064627F"/>
    <w:rsid w:val="00646CA4"/>
    <w:rsid w:val="00647569"/>
    <w:rsid w:val="00655881"/>
    <w:rsid w:val="00657364"/>
    <w:rsid w:val="00657746"/>
    <w:rsid w:val="00661189"/>
    <w:rsid w:val="006632E3"/>
    <w:rsid w:val="00663341"/>
    <w:rsid w:val="00663EA7"/>
    <w:rsid w:val="00663F5C"/>
    <w:rsid w:val="00664305"/>
    <w:rsid w:val="00665584"/>
    <w:rsid w:val="00665EC4"/>
    <w:rsid w:val="00666D9E"/>
    <w:rsid w:val="00667526"/>
    <w:rsid w:val="006703C7"/>
    <w:rsid w:val="00671196"/>
    <w:rsid w:val="006719B3"/>
    <w:rsid w:val="00671A90"/>
    <w:rsid w:val="00672E78"/>
    <w:rsid w:val="00672EBE"/>
    <w:rsid w:val="00674E49"/>
    <w:rsid w:val="006760CA"/>
    <w:rsid w:val="00677B90"/>
    <w:rsid w:val="00677BB5"/>
    <w:rsid w:val="0068048D"/>
    <w:rsid w:val="00680BEA"/>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07D2"/>
    <w:rsid w:val="006B153E"/>
    <w:rsid w:val="006B472F"/>
    <w:rsid w:val="006B4A0D"/>
    <w:rsid w:val="006B54AC"/>
    <w:rsid w:val="006B5D21"/>
    <w:rsid w:val="006B742F"/>
    <w:rsid w:val="006C06D2"/>
    <w:rsid w:val="006C07A0"/>
    <w:rsid w:val="006C0E75"/>
    <w:rsid w:val="006C155F"/>
    <w:rsid w:val="006C493F"/>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2AE8"/>
    <w:rsid w:val="00735744"/>
    <w:rsid w:val="007358FD"/>
    <w:rsid w:val="00737CAF"/>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4FAD"/>
    <w:rsid w:val="00775AC3"/>
    <w:rsid w:val="0077797B"/>
    <w:rsid w:val="00780319"/>
    <w:rsid w:val="00780495"/>
    <w:rsid w:val="0078066D"/>
    <w:rsid w:val="0078198B"/>
    <w:rsid w:val="00781C73"/>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4FDA"/>
    <w:rsid w:val="007B5E7E"/>
    <w:rsid w:val="007C02C1"/>
    <w:rsid w:val="007C36B5"/>
    <w:rsid w:val="007C49D1"/>
    <w:rsid w:val="007C4FF7"/>
    <w:rsid w:val="007C65E0"/>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AF7"/>
    <w:rsid w:val="00810B4A"/>
    <w:rsid w:val="0081114A"/>
    <w:rsid w:val="00811380"/>
    <w:rsid w:val="00811A8A"/>
    <w:rsid w:val="00814B70"/>
    <w:rsid w:val="00814BDF"/>
    <w:rsid w:val="008163AC"/>
    <w:rsid w:val="00816528"/>
    <w:rsid w:val="00816B4C"/>
    <w:rsid w:val="00822CDA"/>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5F0"/>
    <w:rsid w:val="0088164D"/>
    <w:rsid w:val="00882549"/>
    <w:rsid w:val="00882D6D"/>
    <w:rsid w:val="00884C65"/>
    <w:rsid w:val="00886A5D"/>
    <w:rsid w:val="00887CB9"/>
    <w:rsid w:val="00887FE3"/>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5D45"/>
    <w:rsid w:val="008B6B8A"/>
    <w:rsid w:val="008B7A73"/>
    <w:rsid w:val="008C06A6"/>
    <w:rsid w:val="008C0BFD"/>
    <w:rsid w:val="008C2B1A"/>
    <w:rsid w:val="008C549C"/>
    <w:rsid w:val="008C6A4D"/>
    <w:rsid w:val="008C6B10"/>
    <w:rsid w:val="008C76CE"/>
    <w:rsid w:val="008C774B"/>
    <w:rsid w:val="008D136A"/>
    <w:rsid w:val="008D4228"/>
    <w:rsid w:val="008D5241"/>
    <w:rsid w:val="008D55A0"/>
    <w:rsid w:val="008D5CBD"/>
    <w:rsid w:val="008D792F"/>
    <w:rsid w:val="008E03C2"/>
    <w:rsid w:val="008E1AA3"/>
    <w:rsid w:val="008F02A1"/>
    <w:rsid w:val="008F05ED"/>
    <w:rsid w:val="008F2CBE"/>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D2B"/>
    <w:rsid w:val="00943002"/>
    <w:rsid w:val="009432A7"/>
    <w:rsid w:val="00944D14"/>
    <w:rsid w:val="00944DD9"/>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60D2"/>
    <w:rsid w:val="00996DA0"/>
    <w:rsid w:val="009A2C78"/>
    <w:rsid w:val="009A64D3"/>
    <w:rsid w:val="009A66F2"/>
    <w:rsid w:val="009A6AAD"/>
    <w:rsid w:val="009A6AC9"/>
    <w:rsid w:val="009B12FC"/>
    <w:rsid w:val="009B4CF8"/>
    <w:rsid w:val="009B4D35"/>
    <w:rsid w:val="009B66ED"/>
    <w:rsid w:val="009C0420"/>
    <w:rsid w:val="009C233A"/>
    <w:rsid w:val="009C28A7"/>
    <w:rsid w:val="009C2A5A"/>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7A"/>
    <w:rsid w:val="009E7C94"/>
    <w:rsid w:val="009E7E60"/>
    <w:rsid w:val="009F1462"/>
    <w:rsid w:val="009F206A"/>
    <w:rsid w:val="009F41BA"/>
    <w:rsid w:val="009F5A3A"/>
    <w:rsid w:val="009F5F3A"/>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30137"/>
    <w:rsid w:val="00A33A93"/>
    <w:rsid w:val="00A34CE1"/>
    <w:rsid w:val="00A350FE"/>
    <w:rsid w:val="00A35FDC"/>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4266"/>
    <w:rsid w:val="00A65EBA"/>
    <w:rsid w:val="00A67293"/>
    <w:rsid w:val="00A73D67"/>
    <w:rsid w:val="00A77A8E"/>
    <w:rsid w:val="00A8238B"/>
    <w:rsid w:val="00A82736"/>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E14BC"/>
    <w:rsid w:val="00AE1DCB"/>
    <w:rsid w:val="00AE29D1"/>
    <w:rsid w:val="00AE3D12"/>
    <w:rsid w:val="00AE425E"/>
    <w:rsid w:val="00AE4F76"/>
    <w:rsid w:val="00AF128E"/>
    <w:rsid w:val="00AF1618"/>
    <w:rsid w:val="00AF1E02"/>
    <w:rsid w:val="00AF2C7C"/>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404E9"/>
    <w:rsid w:val="00B408E6"/>
    <w:rsid w:val="00B41C0C"/>
    <w:rsid w:val="00B457E1"/>
    <w:rsid w:val="00B45F68"/>
    <w:rsid w:val="00B47E92"/>
    <w:rsid w:val="00B5095A"/>
    <w:rsid w:val="00B526C2"/>
    <w:rsid w:val="00B53365"/>
    <w:rsid w:val="00B55961"/>
    <w:rsid w:val="00B600C9"/>
    <w:rsid w:val="00B63F3D"/>
    <w:rsid w:val="00B659A8"/>
    <w:rsid w:val="00B710FA"/>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C093E"/>
    <w:rsid w:val="00BC2D5D"/>
    <w:rsid w:val="00BC4E42"/>
    <w:rsid w:val="00BC607D"/>
    <w:rsid w:val="00BC6CD8"/>
    <w:rsid w:val="00BC6DA1"/>
    <w:rsid w:val="00BD07E7"/>
    <w:rsid w:val="00BD086B"/>
    <w:rsid w:val="00BD1899"/>
    <w:rsid w:val="00BD1F1E"/>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7255"/>
    <w:rsid w:val="00BF7BC9"/>
    <w:rsid w:val="00C01EE3"/>
    <w:rsid w:val="00C04906"/>
    <w:rsid w:val="00C04DA4"/>
    <w:rsid w:val="00C05D15"/>
    <w:rsid w:val="00C06F72"/>
    <w:rsid w:val="00C0731E"/>
    <w:rsid w:val="00C1077C"/>
    <w:rsid w:val="00C13A74"/>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6FF"/>
    <w:rsid w:val="00C528C8"/>
    <w:rsid w:val="00C544FB"/>
    <w:rsid w:val="00C63425"/>
    <w:rsid w:val="00C6683B"/>
    <w:rsid w:val="00C702FC"/>
    <w:rsid w:val="00C71C01"/>
    <w:rsid w:val="00C734AD"/>
    <w:rsid w:val="00C749A8"/>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447D"/>
    <w:rsid w:val="00CA5919"/>
    <w:rsid w:val="00CA646D"/>
    <w:rsid w:val="00CA6855"/>
    <w:rsid w:val="00CA7694"/>
    <w:rsid w:val="00CB1491"/>
    <w:rsid w:val="00CB2DE1"/>
    <w:rsid w:val="00CB3656"/>
    <w:rsid w:val="00CB51CF"/>
    <w:rsid w:val="00CB5E2F"/>
    <w:rsid w:val="00CB6545"/>
    <w:rsid w:val="00CB73C2"/>
    <w:rsid w:val="00CB7496"/>
    <w:rsid w:val="00CC2755"/>
    <w:rsid w:val="00CC3B3D"/>
    <w:rsid w:val="00CC453A"/>
    <w:rsid w:val="00CC494A"/>
    <w:rsid w:val="00CC51CD"/>
    <w:rsid w:val="00CC7B53"/>
    <w:rsid w:val="00CD0588"/>
    <w:rsid w:val="00CD0CA4"/>
    <w:rsid w:val="00CD0D4B"/>
    <w:rsid w:val="00CD3EBE"/>
    <w:rsid w:val="00CD4977"/>
    <w:rsid w:val="00CD6DED"/>
    <w:rsid w:val="00CE030B"/>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4450"/>
    <w:rsid w:val="00D54C21"/>
    <w:rsid w:val="00D554AE"/>
    <w:rsid w:val="00D56AA6"/>
    <w:rsid w:val="00D57B23"/>
    <w:rsid w:val="00D603F2"/>
    <w:rsid w:val="00D608AD"/>
    <w:rsid w:val="00D640F1"/>
    <w:rsid w:val="00D65E11"/>
    <w:rsid w:val="00D66EDB"/>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184B"/>
    <w:rsid w:val="00D920B7"/>
    <w:rsid w:val="00D9235C"/>
    <w:rsid w:val="00D92FD6"/>
    <w:rsid w:val="00D939AE"/>
    <w:rsid w:val="00DA011B"/>
    <w:rsid w:val="00DA035A"/>
    <w:rsid w:val="00DA502E"/>
    <w:rsid w:val="00DA70F3"/>
    <w:rsid w:val="00DA770F"/>
    <w:rsid w:val="00DB77A0"/>
    <w:rsid w:val="00DB7F7F"/>
    <w:rsid w:val="00DC0DDD"/>
    <w:rsid w:val="00DC1CB5"/>
    <w:rsid w:val="00DC1F9F"/>
    <w:rsid w:val="00DC357C"/>
    <w:rsid w:val="00DC4D9D"/>
    <w:rsid w:val="00DC51EB"/>
    <w:rsid w:val="00DC54F0"/>
    <w:rsid w:val="00DC7849"/>
    <w:rsid w:val="00DC78F6"/>
    <w:rsid w:val="00DD09F1"/>
    <w:rsid w:val="00DD0CA4"/>
    <w:rsid w:val="00DD1FB6"/>
    <w:rsid w:val="00DD20FA"/>
    <w:rsid w:val="00DD2E5D"/>
    <w:rsid w:val="00DD32FE"/>
    <w:rsid w:val="00DD5490"/>
    <w:rsid w:val="00DD73A1"/>
    <w:rsid w:val="00DD7F16"/>
    <w:rsid w:val="00DD7FEE"/>
    <w:rsid w:val="00DE1A21"/>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487"/>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B58"/>
    <w:rsid w:val="00E146EF"/>
    <w:rsid w:val="00E1480A"/>
    <w:rsid w:val="00E200BD"/>
    <w:rsid w:val="00E21754"/>
    <w:rsid w:val="00E22C74"/>
    <w:rsid w:val="00E23785"/>
    <w:rsid w:val="00E23A1F"/>
    <w:rsid w:val="00E26112"/>
    <w:rsid w:val="00E268C3"/>
    <w:rsid w:val="00E27C05"/>
    <w:rsid w:val="00E30116"/>
    <w:rsid w:val="00E3051E"/>
    <w:rsid w:val="00E31976"/>
    <w:rsid w:val="00E32D7C"/>
    <w:rsid w:val="00E33B3D"/>
    <w:rsid w:val="00E35231"/>
    <w:rsid w:val="00E36FD3"/>
    <w:rsid w:val="00E37EC5"/>
    <w:rsid w:val="00E41B75"/>
    <w:rsid w:val="00E42E9B"/>
    <w:rsid w:val="00E4321B"/>
    <w:rsid w:val="00E445AA"/>
    <w:rsid w:val="00E446C4"/>
    <w:rsid w:val="00E4729C"/>
    <w:rsid w:val="00E51FF0"/>
    <w:rsid w:val="00E521EC"/>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7030E"/>
    <w:rsid w:val="00E7210C"/>
    <w:rsid w:val="00E73458"/>
    <w:rsid w:val="00E74C85"/>
    <w:rsid w:val="00E75490"/>
    <w:rsid w:val="00E7609A"/>
    <w:rsid w:val="00E80DAF"/>
    <w:rsid w:val="00E80EBF"/>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EDA"/>
    <w:rsid w:val="00E96693"/>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1CAA"/>
    <w:rsid w:val="00EF4A0C"/>
    <w:rsid w:val="00EF55CE"/>
    <w:rsid w:val="00EF5A74"/>
    <w:rsid w:val="00EF7DB5"/>
    <w:rsid w:val="00F01237"/>
    <w:rsid w:val="00F01454"/>
    <w:rsid w:val="00F0164D"/>
    <w:rsid w:val="00F025DE"/>
    <w:rsid w:val="00F02E0E"/>
    <w:rsid w:val="00F03A23"/>
    <w:rsid w:val="00F03C66"/>
    <w:rsid w:val="00F03FD8"/>
    <w:rsid w:val="00F052FB"/>
    <w:rsid w:val="00F0530E"/>
    <w:rsid w:val="00F0555D"/>
    <w:rsid w:val="00F05A02"/>
    <w:rsid w:val="00F12ECB"/>
    <w:rsid w:val="00F12F42"/>
    <w:rsid w:val="00F20190"/>
    <w:rsid w:val="00F21A8A"/>
    <w:rsid w:val="00F30730"/>
    <w:rsid w:val="00F30943"/>
    <w:rsid w:val="00F3340B"/>
    <w:rsid w:val="00F34DC0"/>
    <w:rsid w:val="00F378D0"/>
    <w:rsid w:val="00F421E6"/>
    <w:rsid w:val="00F4241C"/>
    <w:rsid w:val="00F42608"/>
    <w:rsid w:val="00F44BEF"/>
    <w:rsid w:val="00F479C9"/>
    <w:rsid w:val="00F5028B"/>
    <w:rsid w:val="00F50FCD"/>
    <w:rsid w:val="00F51C55"/>
    <w:rsid w:val="00F52DB4"/>
    <w:rsid w:val="00F54011"/>
    <w:rsid w:val="00F55D27"/>
    <w:rsid w:val="00F563EF"/>
    <w:rsid w:val="00F618C6"/>
    <w:rsid w:val="00F6248A"/>
    <w:rsid w:val="00F63136"/>
    <w:rsid w:val="00F63CAF"/>
    <w:rsid w:val="00F700DC"/>
    <w:rsid w:val="00F71230"/>
    <w:rsid w:val="00F713C4"/>
    <w:rsid w:val="00F7574F"/>
    <w:rsid w:val="00F758A0"/>
    <w:rsid w:val="00F77EED"/>
    <w:rsid w:val="00F80146"/>
    <w:rsid w:val="00F8023E"/>
    <w:rsid w:val="00F81C74"/>
    <w:rsid w:val="00F82DB6"/>
    <w:rsid w:val="00F82F04"/>
    <w:rsid w:val="00F85088"/>
    <w:rsid w:val="00F852C2"/>
    <w:rsid w:val="00F8687C"/>
    <w:rsid w:val="00F87807"/>
    <w:rsid w:val="00F87926"/>
    <w:rsid w:val="00F90496"/>
    <w:rsid w:val="00F9251B"/>
    <w:rsid w:val="00F930DA"/>
    <w:rsid w:val="00F93B27"/>
    <w:rsid w:val="00F95610"/>
    <w:rsid w:val="00FB1C92"/>
    <w:rsid w:val="00FB1D95"/>
    <w:rsid w:val="00FB2748"/>
    <w:rsid w:val="00FB45A6"/>
    <w:rsid w:val="00FB75A8"/>
    <w:rsid w:val="00FC156C"/>
    <w:rsid w:val="00FC3D4A"/>
    <w:rsid w:val="00FC7A63"/>
    <w:rsid w:val="00FC7F92"/>
    <w:rsid w:val="00FD29D5"/>
    <w:rsid w:val="00FD2AA7"/>
    <w:rsid w:val="00FD57F9"/>
    <w:rsid w:val="00FD6E3C"/>
    <w:rsid w:val="00FD6F50"/>
    <w:rsid w:val="00FD7576"/>
    <w:rsid w:val="00FE1192"/>
    <w:rsid w:val="00FE40AA"/>
    <w:rsid w:val="00FE50E2"/>
    <w:rsid w:val="00FE66F8"/>
    <w:rsid w:val="00FF012F"/>
    <w:rsid w:val="00FF164D"/>
    <w:rsid w:val="00FF3131"/>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ŠULJINIĆ, Jeremija</Reference>
    <Case_x0020_Year xmlns="63130c8a-8d1f-4e28-8ee3-43603ca9ef3b">2009</Case_x0020_Year>
    <Case_x0020_Status xmlns="16f2acb5-7363-4076-9084-069fc3bb4325">CASE CLOSED</Case_x0020_Status>
    <Date_x0020_of_x0020_Adoption xmlns="16f2acb5-7363-4076-9084-069fc3bb4325">2014-11-12T23:00:00+00:00</Date_x0020_of_x0020_Adoption>
    <Case_x0020_Number xmlns="16f2acb5-7363-4076-9084-069fc3bb4325">276/09</Case_x0020_Number>
    <Type_x0020_of_x0020_Document xmlns="16f2acb5-7363-4076-9084-069fc3bb4325">Opinion</Type_x0020_of_x0020_Document>
    <_dlc_DocId xmlns="b9fab99d-1571-47f6-8995-3a195ef041f8">M5JDUUKXSQ5W-25-1058</_dlc_DocId>
    <_dlc_DocIdUrl xmlns="b9fab99d-1571-47f6-8995-3a195ef041f8">
      <Url>http://www.unmikonline.org/hrap/Eng/_layouts/DocIdRedir.aspx?ID=M5JDUUKXSQ5W-25-1058</Url>
      <Description>M5JDUUKXSQ5W-25-1058</Description>
    </_dlc_DocIdUrl>
  </documentManagement>
</p:properties>
</file>

<file path=customXml/itemProps1.xml><?xml version="1.0" encoding="utf-8"?>
<ds:datastoreItem xmlns:ds="http://schemas.openxmlformats.org/officeDocument/2006/customXml" ds:itemID="{51BB1972-7E2B-4605-BB1D-14636F600EC6}"/>
</file>

<file path=customXml/itemProps2.xml><?xml version="1.0" encoding="utf-8"?>
<ds:datastoreItem xmlns:ds="http://schemas.openxmlformats.org/officeDocument/2006/customXml" ds:itemID="{BC9F1BE4-1194-489A-8B7B-910AB8969DC6}"/>
</file>

<file path=customXml/itemProps3.xml><?xml version="1.0" encoding="utf-8"?>
<ds:datastoreItem xmlns:ds="http://schemas.openxmlformats.org/officeDocument/2006/customXml" ds:itemID="{FDD86F04-2D09-454D-8458-C6540DF99099}"/>
</file>

<file path=customXml/itemProps4.xml><?xml version="1.0" encoding="utf-8"?>
<ds:datastoreItem xmlns:ds="http://schemas.openxmlformats.org/officeDocument/2006/customXml" ds:itemID="{D82F5393-F412-4E68-95EF-1693DA20B5DE}"/>
</file>

<file path=customXml/itemProps5.xml><?xml version="1.0" encoding="utf-8"?>
<ds:datastoreItem xmlns:ds="http://schemas.openxmlformats.org/officeDocument/2006/customXml" ds:itemID="{6AF15314-32B2-4662-9265-E24AD4300349}"/>
</file>

<file path=docProps/app.xml><?xml version="1.0" encoding="utf-8"?>
<Properties xmlns="http://schemas.openxmlformats.org/officeDocument/2006/extended-properties" xmlns:vt="http://schemas.openxmlformats.org/officeDocument/2006/docPropsVTypes">
  <Template>Normal</Template>
  <TotalTime>0</TotalTime>
  <Pages>46</Pages>
  <Words>20902</Words>
  <Characters>119146</Characters>
  <Application>Microsoft Office Word</Application>
  <DocSecurity>0</DocSecurity>
  <Lines>992</Lines>
  <Paragraphs>279</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139769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2014-11-14T12:48:00Z</cp:lastPrinted>
  <dcterms:created xsi:type="dcterms:W3CDTF">2015-01-08T10:36:00Z</dcterms:created>
  <dcterms:modified xsi:type="dcterms:W3CDTF">2015-01-08T10:36:00Z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e14724f9-ada0-496c-bed3-33fa0c7fbd18</vt:lpwstr>
  </property>
</Properties>
</file>